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ustom.xml" ContentType="application/vnd.openxmlformats-officedocument.custom-properties+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Style w:val="950"/>
        <w:pBdr/>
        <w:spacing/>
        <w:ind/>
        <w:rPr/>
      </w:pPr>
      <w:r>
        <w:rPr>
          <w:color w:val="282973"/>
        </w:rPr>
        <w:t xml:space="preserve">Annexe</w:t>
      </w:r>
      <w:r>
        <w:rPr>
          <w:color w:val="282973"/>
          <w:spacing w:val="-15"/>
        </w:rPr>
        <w:t xml:space="preserve"> </w:t>
      </w:r>
      <w:r>
        <w:rPr>
          <w:color w:val="282973"/>
        </w:rPr>
        <w:t xml:space="preserve">2</w:t>
      </w:r>
      <w:r>
        <w:rPr>
          <w:color w:val="282973"/>
          <w:spacing w:val="-14"/>
        </w:rPr>
        <w:t xml:space="preserve"> </w:t>
      </w:r>
      <w:r>
        <w:rPr>
          <w:color w:val="282973"/>
        </w:rPr>
        <w:t xml:space="preserve">:</w:t>
      </w:r>
      <w:r>
        <w:rPr>
          <w:color w:val="282973"/>
          <w:spacing w:val="-16"/>
        </w:rPr>
        <w:t xml:space="preserve"> </w:t>
      </w:r>
      <w:r>
        <w:rPr>
          <w:color w:val="282973"/>
        </w:rPr>
        <w:t xml:space="preserve">Eléments</w:t>
      </w:r>
      <w:r>
        <w:rPr>
          <w:color w:val="282973"/>
          <w:spacing w:val="-16"/>
        </w:rPr>
        <w:t xml:space="preserve"> </w:t>
      </w:r>
      <w:r>
        <w:rPr>
          <w:color w:val="282973"/>
        </w:rPr>
        <w:t xml:space="preserve">de</w:t>
      </w:r>
      <w:r>
        <w:rPr>
          <w:color w:val="282973"/>
          <w:spacing w:val="-16"/>
        </w:rPr>
        <w:t xml:space="preserve"> </w:t>
      </w:r>
      <w:r>
        <w:rPr>
          <w:color w:val="282973"/>
        </w:rPr>
        <w:t xml:space="preserve">bilan</w:t>
      </w:r>
      <w:r>
        <w:rPr>
          <w:color w:val="282973"/>
          <w:spacing w:val="-17"/>
        </w:rPr>
        <w:t xml:space="preserve"> </w:t>
      </w:r>
      <w:r>
        <w:rPr>
          <w:color w:val="282973"/>
        </w:rPr>
        <w:t xml:space="preserve">à</w:t>
      </w:r>
      <w:r>
        <w:rPr>
          <w:color w:val="282973"/>
          <w:spacing w:val="-15"/>
        </w:rPr>
        <w:t xml:space="preserve"> </w:t>
      </w:r>
      <w:r>
        <w:rPr>
          <w:color w:val="282973"/>
          <w:spacing w:val="-2"/>
        </w:rPr>
        <w:t xml:space="preserve">fournir</w:t>
      </w:r>
      <w:r/>
    </w:p>
    <w:p>
      <w:pPr>
        <w:pStyle w:val="952"/>
        <w:keepNext w:val="true"/>
        <w:numPr>
          <w:ilvl w:val="0"/>
          <w:numId w:val="2"/>
        </w:numPr>
        <w:pBdr/>
        <w:tabs>
          <w:tab w:val="left" w:leader="none" w:pos="562"/>
        </w:tabs>
        <w:spacing w:after="0" w:before="287" w:line="240" w:lineRule="auto"/>
        <w:ind w:right="0" w:hanging="359" w:left="562"/>
        <w:jc w:val="left"/>
        <w:rPr>
          <w:sz w:val="18"/>
        </w:rPr>
      </w:pPr>
      <w:r>
        <w:rPr>
          <w:sz w:val="18"/>
        </w:rPr>
        <w:t xml:space="preserve">1/</w:t>
      </w:r>
      <w:r>
        <w:rPr>
          <w:spacing w:val="-7"/>
          <w:sz w:val="18"/>
        </w:rPr>
        <w:t xml:space="preserve"> </w:t>
      </w:r>
      <w:r>
        <w:rPr>
          <w:sz w:val="18"/>
        </w:rPr>
        <w:t xml:space="preserve">Sur</w:t>
      </w:r>
      <w:r>
        <w:rPr>
          <w:spacing w:val="-3"/>
          <w:sz w:val="18"/>
        </w:rPr>
        <w:t xml:space="preserve"> </w:t>
      </w:r>
      <w:r>
        <w:rPr>
          <w:sz w:val="18"/>
        </w:rPr>
        <w:t xml:space="preserve">quel</w:t>
      </w:r>
      <w:r>
        <w:rPr>
          <w:spacing w:val="-2"/>
          <w:sz w:val="18"/>
        </w:rPr>
        <w:t xml:space="preserve"> </w:t>
      </w:r>
      <w:r>
        <w:rPr>
          <w:sz w:val="18"/>
        </w:rPr>
        <w:t xml:space="preserve">territoire</w:t>
      </w:r>
      <w:r>
        <w:rPr>
          <w:spacing w:val="-4"/>
          <w:sz w:val="18"/>
        </w:rPr>
        <w:t xml:space="preserve"> </w:t>
      </w:r>
      <w:r>
        <w:rPr>
          <w:sz w:val="18"/>
        </w:rPr>
        <w:t xml:space="preserve">l’action</w:t>
      </w:r>
      <w:r>
        <w:rPr>
          <w:spacing w:val="-2"/>
          <w:sz w:val="18"/>
        </w:rPr>
        <w:t xml:space="preserve"> </w:t>
      </w:r>
      <w:r>
        <w:rPr>
          <w:sz w:val="18"/>
        </w:rPr>
        <w:t xml:space="preserve">s’est-elle</w:t>
      </w:r>
      <w:r>
        <w:rPr>
          <w:spacing w:val="-3"/>
          <w:sz w:val="18"/>
        </w:rPr>
        <w:t xml:space="preserve"> </w:t>
      </w:r>
      <w:r>
        <w:rPr>
          <w:sz w:val="18"/>
        </w:rPr>
        <w:t xml:space="preserve">déroulée</w:t>
      </w:r>
      <w:r>
        <w:rPr>
          <w:spacing w:val="-2"/>
          <w:sz w:val="18"/>
        </w:rPr>
        <w:t xml:space="preserve"> </w:t>
      </w:r>
      <w:r>
        <w:rPr>
          <w:spacing w:val="-10"/>
          <w:sz w:val="18"/>
        </w:rPr>
        <w:t xml:space="preserve">?</w:t>
      </w:r>
      <w:r>
        <w:rPr>
          <w:sz w:val="18"/>
        </w:rPr>
      </w:r>
      <w:r>
        <w:rPr>
          <w:sz w:val="18"/>
        </w:rPr>
      </w:r>
    </w:p>
    <w:p>
      <w:pPr>
        <w:pStyle w:val="949"/>
        <w:pBdr/>
        <w:spacing w:after="80" w:before="40" w:line="252" w:lineRule="auto"/>
        <w:ind/>
        <w:rPr>
          <w:sz w:val="20"/>
        </w:rPr>
      </w:pPr>
      <w:r>
        <w:rPr>
          <w:rFonts w:ascii="Arial" w:hAnsi="Arial" w:eastAsia="Arial"/>
          <w:b w:val="0"/>
          <w:sz w:val="20"/>
        </w:rPr>
        <w:t xml:space="preserve">Chemillé-en-Anjou.</w:t>
      </w:r>
      <w:r>
        <w:rPr>
          <w:sz w:val="20"/>
        </w:rPr>
      </w:r>
      <w:r>
        <w:rPr>
          <w:sz w:val="20"/>
        </w:rPr>
      </w:r>
    </w:p>
    <w:p>
      <w:pPr>
        <w:pStyle w:val="952"/>
        <w:keepNext w:val="true"/>
        <w:numPr>
          <w:ilvl w:val="0"/>
          <w:numId w:val="2"/>
        </w:numPr>
        <w:pBdr/>
        <w:tabs>
          <w:tab w:val="left" w:leader="none" w:pos="562"/>
        </w:tabs>
        <w:spacing w:after="0" w:before="194" w:line="240" w:lineRule="auto"/>
        <w:ind w:right="0" w:hanging="359" w:left="562"/>
        <w:jc w:val="left"/>
        <w:rPr>
          <w:sz w:val="18"/>
        </w:rPr>
      </w:pPr>
      <w:r>
        <w:rPr>
          <w:sz w:val="18"/>
        </w:rPr>
        <w:t xml:space="preserve">2/</w:t>
      </w:r>
      <w:r>
        <w:rPr>
          <w:spacing w:val="-6"/>
          <w:sz w:val="18"/>
        </w:rPr>
        <w:t xml:space="preserve"> </w:t>
      </w:r>
      <w:r>
        <w:rPr>
          <w:sz w:val="18"/>
        </w:rPr>
        <w:t xml:space="preserve">Combien</w:t>
      </w:r>
      <w:r>
        <w:rPr>
          <w:spacing w:val="-2"/>
          <w:sz w:val="18"/>
        </w:rPr>
        <w:t xml:space="preserve"> </w:t>
      </w:r>
      <w:r>
        <w:rPr>
          <w:sz w:val="18"/>
        </w:rPr>
        <w:t xml:space="preserve">de</w:t>
      </w:r>
      <w:r>
        <w:rPr>
          <w:spacing w:val="-3"/>
          <w:sz w:val="18"/>
        </w:rPr>
        <w:t xml:space="preserve"> </w:t>
      </w:r>
      <w:r>
        <w:rPr>
          <w:sz w:val="18"/>
        </w:rPr>
        <w:t xml:space="preserve">personnes</w:t>
      </w:r>
      <w:r>
        <w:rPr>
          <w:spacing w:val="-2"/>
          <w:sz w:val="18"/>
        </w:rPr>
        <w:t xml:space="preserve"> </w:t>
      </w:r>
      <w:r>
        <w:rPr>
          <w:sz w:val="18"/>
        </w:rPr>
        <w:t xml:space="preserve">ont</w:t>
      </w:r>
      <w:r>
        <w:rPr>
          <w:spacing w:val="-2"/>
          <w:sz w:val="18"/>
        </w:rPr>
        <w:t xml:space="preserve"> </w:t>
      </w:r>
      <w:r>
        <w:rPr>
          <w:sz w:val="18"/>
        </w:rPr>
        <w:t xml:space="preserve">participé</w:t>
      </w:r>
      <w:r>
        <w:rPr>
          <w:spacing w:val="-3"/>
          <w:sz w:val="18"/>
        </w:rPr>
        <w:t xml:space="preserve"> </w:t>
      </w:r>
      <w:r>
        <w:rPr>
          <w:sz w:val="18"/>
        </w:rPr>
        <w:t xml:space="preserve">à</w:t>
      </w:r>
      <w:r>
        <w:rPr>
          <w:spacing w:val="-3"/>
          <w:sz w:val="18"/>
        </w:rPr>
        <w:t xml:space="preserve"> </w:t>
      </w:r>
      <w:r>
        <w:rPr>
          <w:sz w:val="18"/>
        </w:rPr>
        <w:t xml:space="preserve">l’action</w:t>
      </w:r>
      <w:r>
        <w:rPr>
          <w:spacing w:val="3"/>
          <w:sz w:val="18"/>
        </w:rPr>
        <w:t xml:space="preserve"> </w:t>
      </w:r>
      <w:r>
        <w:rPr>
          <w:spacing w:val="-10"/>
          <w:sz w:val="18"/>
        </w:rPr>
        <w:t xml:space="preserve">?</w:t>
      </w:r>
      <w:r>
        <w:rPr>
          <w:sz w:val="18"/>
        </w:rPr>
      </w:r>
      <w:r>
        <w:rPr>
          <w:sz w:val="18"/>
        </w:rPr>
      </w:r>
    </w:p>
    <w:p>
      <w:pPr>
        <w:pStyle w:val="949"/>
        <w:pBdr/>
        <w:spacing w:after="80" w:before="40" w:line="252" w:lineRule="auto"/>
        <w:ind/>
        <w:rPr>
          <w:sz w:val="20"/>
        </w:rPr>
      </w:pPr>
      <w:r>
        <w:rPr>
          <w:rFonts w:ascii="Arial" w:hAnsi="Arial" w:eastAsia="Arial"/>
          <w:b w:val="0"/>
          <w:sz w:val="19"/>
        </w:rPr>
        <w:t xml:space="preserve">Le suivi réalisé ne permet pas d’établir un nombre total de participants uniques sur l’ensemble des trois axes, certaines personnes ayant pu participer à plusieurs actions. Les principaux résulta</w:t>
      </w:r>
      <w:r>
        <w:rPr>
          <w:rFonts w:ascii="Arial" w:hAnsi="Arial" w:eastAsia="Arial"/>
          <w:b w:val="0"/>
          <w:sz w:val="19"/>
        </w:rPr>
        <w:t xml:space="preserve">ts sont : 55 participants différents à Libre en fête (25 au ciné-débat et 30 au forum), 2 foyers accompagnés à domicile, ainsi qu’une fréquentation régulière des 15 permanences du GULL.</w:t>
      </w:r>
      <w:r>
        <w:rPr>
          <w:sz w:val="20"/>
        </w:rPr>
      </w:r>
      <w:r>
        <w:rPr>
          <w:sz w:val="20"/>
        </w:rPr>
      </w:r>
    </w:p>
    <w:p>
      <w:pPr>
        <w:pStyle w:val="952"/>
        <w:keepNext w:val="true"/>
        <w:numPr>
          <w:ilvl w:val="0"/>
          <w:numId w:val="2"/>
        </w:numPr>
        <w:pBdr/>
        <w:tabs>
          <w:tab w:val="left" w:leader="none" w:pos="562"/>
        </w:tabs>
        <w:spacing w:after="0" w:before="189" w:line="240" w:lineRule="auto"/>
        <w:ind w:right="0" w:hanging="359" w:left="562"/>
        <w:jc w:val="left"/>
        <w:rPr>
          <w:sz w:val="18"/>
        </w:rPr>
      </w:pPr>
      <w:r>
        <w:rPr>
          <w:sz w:val="18"/>
        </w:rPr>
        <w:t xml:space="preserve">Nombre</w:t>
      </w:r>
      <w:r>
        <w:rPr>
          <w:spacing w:val="-5"/>
          <w:sz w:val="18"/>
        </w:rPr>
        <w:t xml:space="preserve"> </w:t>
      </w:r>
      <w:r>
        <w:rPr>
          <w:sz w:val="18"/>
        </w:rPr>
        <w:t xml:space="preserve">de</w:t>
      </w:r>
      <w:r>
        <w:rPr>
          <w:spacing w:val="-1"/>
          <w:sz w:val="18"/>
        </w:rPr>
        <w:t xml:space="preserve"> </w:t>
      </w:r>
      <w:r>
        <w:rPr>
          <w:sz w:val="18"/>
        </w:rPr>
        <w:t xml:space="preserve">personnes</w:t>
      </w:r>
      <w:r>
        <w:rPr>
          <w:spacing w:val="-2"/>
          <w:sz w:val="18"/>
        </w:rPr>
        <w:t xml:space="preserve"> </w:t>
      </w:r>
      <w:r>
        <w:rPr>
          <w:sz w:val="18"/>
        </w:rPr>
        <w:t xml:space="preserve">par</w:t>
      </w:r>
      <w:r>
        <w:rPr>
          <w:spacing w:val="-5"/>
          <w:sz w:val="18"/>
        </w:rPr>
        <w:t xml:space="preserve"> </w:t>
      </w:r>
      <w:r>
        <w:rPr>
          <w:sz w:val="18"/>
        </w:rPr>
        <w:t xml:space="preserve">tranche</w:t>
      </w:r>
      <w:r>
        <w:rPr>
          <w:spacing w:val="-2"/>
          <w:sz w:val="18"/>
        </w:rPr>
        <w:t xml:space="preserve"> </w:t>
      </w:r>
      <w:r>
        <w:rPr>
          <w:sz w:val="18"/>
        </w:rPr>
        <w:t xml:space="preserve">d’âge</w:t>
      </w:r>
      <w:r>
        <w:rPr>
          <w:spacing w:val="1"/>
          <w:sz w:val="18"/>
        </w:rPr>
        <w:t xml:space="preserve"> </w:t>
      </w:r>
      <w:r>
        <w:rPr>
          <w:spacing w:val="-10"/>
          <w:sz w:val="18"/>
        </w:rPr>
        <w:t xml:space="preserve">:</w:t>
      </w:r>
      <w:r>
        <w:rPr>
          <w:sz w:val="18"/>
        </w:rPr>
      </w:r>
      <w:r>
        <w:rPr>
          <w:sz w:val="18"/>
        </w:rPr>
      </w:r>
    </w:p>
    <w:p>
      <w:pPr>
        <w:pStyle w:val="949"/>
        <w:pBdr/>
        <w:spacing w:after="80" w:before="40" w:line="252" w:lineRule="auto"/>
        <w:ind/>
        <w:rPr/>
      </w:pPr>
      <w:r>
        <w:rPr>
          <w:rFonts w:ascii="Arial" w:hAnsi="Arial" w:eastAsia="Arial"/>
          <w:b w:val="0"/>
          <w:sz w:val="19"/>
        </w:rPr>
        <w:t xml:space="preserve">La répartition par âge n’a pas été recueillie de manière systématique pendant les actions. Cependant notre observation générale nous indique que la grande majorité des personnes ayant fréquentés l</w:t>
      </w:r>
      <w:r>
        <w:rPr>
          <w:rFonts w:ascii="Arial" w:hAnsi="Arial" w:eastAsia="Arial"/>
          <w:b w:val="0"/>
          <w:sz w:val="19"/>
        </w:rPr>
        <w:t xml:space="preserve">es différents temps étaient des personne âgés de + de 60 ans, surtout dans le cadre du GULL et des interventions à domicile. Les 2 temps de libre en fête eux ont été plus hétérogènes sur la question de l’âge, avec des familles, des jeunes et des retraités.</w:t>
      </w:r>
      <w:r/>
    </w:p>
    <w:p>
      <w:pPr>
        <w:pStyle w:val="949"/>
        <w:pBdr/>
        <w:spacing w:after="0" w:before="0" w:line="20" w:lineRule="exact"/>
        <w:ind/>
        <w:rPr/>
      </w:pPr>
      <w:r>
        <w:rPr>
          <w:sz w:val="2"/>
        </w:rPr>
      </w:r>
      <w:r/>
    </w:p>
    <w:p>
      <w:pPr>
        <w:pStyle w:val="952"/>
        <w:keepNext w:val="true"/>
        <w:numPr>
          <w:ilvl w:val="0"/>
          <w:numId w:val="1"/>
        </w:numPr>
        <w:pBdr/>
        <w:tabs>
          <w:tab w:val="left" w:leader="none" w:pos="562"/>
        </w:tabs>
        <w:spacing w:after="0" w:before="0" w:line="240" w:lineRule="auto"/>
        <w:ind w:right="0" w:hanging="359" w:left="562"/>
        <w:jc w:val="left"/>
        <w:rPr>
          <w:sz w:val="18"/>
        </w:rPr>
      </w:pPr>
      <w:r>
        <w:rPr>
          <w:sz w:val="18"/>
        </w:rPr>
        <w:t xml:space="preserve">3/</w:t>
      </w:r>
      <w:r>
        <w:rPr>
          <w:spacing w:val="-6"/>
          <w:sz w:val="18"/>
        </w:rPr>
        <w:t xml:space="preserve"> </w:t>
      </w:r>
      <w:r>
        <w:rPr>
          <w:sz w:val="18"/>
        </w:rPr>
        <w:t xml:space="preserve">Avez-vous</w:t>
      </w:r>
      <w:r>
        <w:rPr>
          <w:spacing w:val="-3"/>
          <w:sz w:val="18"/>
        </w:rPr>
        <w:t xml:space="preserve"> </w:t>
      </w:r>
      <w:r>
        <w:rPr>
          <w:sz w:val="18"/>
        </w:rPr>
        <w:t xml:space="preserve">accueilli</w:t>
      </w:r>
      <w:r>
        <w:rPr>
          <w:spacing w:val="-2"/>
          <w:sz w:val="18"/>
        </w:rPr>
        <w:t xml:space="preserve"> </w:t>
      </w:r>
      <w:r>
        <w:rPr>
          <w:sz w:val="18"/>
        </w:rPr>
        <w:t xml:space="preserve">le.s</w:t>
      </w:r>
      <w:r>
        <w:rPr>
          <w:spacing w:val="-3"/>
          <w:sz w:val="18"/>
        </w:rPr>
        <w:t xml:space="preserve"> </w:t>
      </w:r>
      <w:r>
        <w:rPr>
          <w:sz w:val="18"/>
        </w:rPr>
        <w:t xml:space="preserve">public.s</w:t>
      </w:r>
      <w:r>
        <w:rPr>
          <w:spacing w:val="-3"/>
          <w:sz w:val="18"/>
        </w:rPr>
        <w:t xml:space="preserve"> </w:t>
      </w:r>
      <w:r>
        <w:rPr>
          <w:sz w:val="18"/>
        </w:rPr>
        <w:t xml:space="preserve">ciblé.s</w:t>
      </w:r>
      <w:r>
        <w:rPr>
          <w:spacing w:val="-3"/>
          <w:sz w:val="18"/>
        </w:rPr>
        <w:t xml:space="preserve"> </w:t>
      </w:r>
      <w:r>
        <w:rPr>
          <w:sz w:val="18"/>
        </w:rPr>
        <w:t xml:space="preserve">par</w:t>
      </w:r>
      <w:r>
        <w:rPr>
          <w:spacing w:val="-4"/>
          <w:sz w:val="18"/>
        </w:rPr>
        <w:t xml:space="preserve"> </w:t>
      </w:r>
      <w:r>
        <w:rPr>
          <w:sz w:val="18"/>
        </w:rPr>
        <w:t xml:space="preserve">l’action</w:t>
      </w:r>
      <w:r>
        <w:rPr>
          <w:spacing w:val="1"/>
          <w:sz w:val="18"/>
        </w:rPr>
        <w:t xml:space="preserve"> </w:t>
      </w:r>
      <w:r>
        <w:rPr>
          <w:sz w:val="18"/>
        </w:rPr>
        <w:t xml:space="preserve">?</w:t>
      </w:r>
      <w:r>
        <w:rPr>
          <w:spacing w:val="-3"/>
          <w:sz w:val="18"/>
        </w:rPr>
        <w:t xml:space="preserve"> </w:t>
      </w:r>
      <w:r>
        <w:rPr>
          <w:sz w:val="18"/>
        </w:rPr>
        <w:t xml:space="preserve">Précisez</w:t>
      </w:r>
      <w:r>
        <w:rPr>
          <w:spacing w:val="-2"/>
          <w:sz w:val="18"/>
        </w:rPr>
        <w:t xml:space="preserve"> </w:t>
      </w:r>
      <w:r>
        <w:rPr>
          <w:spacing w:val="-10"/>
          <w:sz w:val="18"/>
        </w:rPr>
        <w:t xml:space="preserve">:</w:t>
      </w:r>
      <w:r>
        <w:rPr>
          <w:sz w:val="18"/>
        </w:rPr>
      </w:r>
      <w:r>
        <w:rPr>
          <w:sz w:val="18"/>
        </w:rPr>
      </w:r>
    </w:p>
    <w:p>
      <w:pPr>
        <w:pStyle w:val="949"/>
        <w:pBdr/>
        <w:spacing w:after="80" w:before="40" w:line="252" w:lineRule="auto"/>
        <w:ind/>
        <w:rPr>
          <w:sz w:val="20"/>
        </w:rPr>
      </w:pPr>
      <w:r>
        <w:rPr>
          <w:rFonts w:ascii="Arial" w:hAnsi="Arial" w:eastAsia="Arial"/>
          <w:b w:val="0"/>
          <w:sz w:val="19"/>
        </w:rPr>
        <w:t xml:space="preserve">Oui. Les actions ont accueilli des habitants du territoire intéressés par les logiciels libres, la protection des données, le réemploi informatiqu</w:t>
      </w:r>
      <w:r>
        <w:rPr>
          <w:rFonts w:ascii="Arial" w:hAnsi="Arial" w:eastAsia="Arial"/>
          <w:b w:val="0"/>
          <w:sz w:val="19"/>
        </w:rPr>
        <w:t xml:space="preserve">e et la prolongation de la durée de vie de leurs équipements. Les permanences ont notamment touché des personnes souhaitant conserver un ordinateur encore fonctionnel, découvrir Linux ou bénéficier d’un accompagnement pratique.</w:t>
      </w:r>
      <w:r>
        <w:rPr>
          <w:sz w:val="20"/>
        </w:rPr>
      </w:r>
      <w:r>
        <w:rPr>
          <w:sz w:val="20"/>
        </w:rPr>
      </w:r>
    </w:p>
    <w:p>
      <w:pPr>
        <w:pStyle w:val="949"/>
        <w:pBdr/>
        <w:spacing w:after="80" w:before="40" w:line="252" w:lineRule="auto"/>
        <w:ind/>
        <w:rPr>
          <w:sz w:val="20"/>
        </w:rPr>
      </w:pPr>
      <w:r>
        <w:rPr>
          <w:rFonts w:ascii="Arial" w:hAnsi="Arial" w:eastAsia="Arial"/>
          <w:b w:val="0"/>
          <w:sz w:val="19"/>
        </w:rPr>
        <w:t xml:space="preserve">Le service à domicile a </w:t>
      </w:r>
      <w:r>
        <w:rPr>
          <w:rFonts w:ascii="Arial" w:hAnsi="Arial" w:eastAsia="Arial"/>
          <w:b w:val="0"/>
          <w:sz w:val="19"/>
        </w:rPr>
        <w:t xml:space="preserve">également permis d’accompagner des personnes ayant des difficultés à déplacer leur matériel ou dont le problème nécessitait une intervention dans leur environnement habituel. La mobilisation d’une dizaine de bénévoles a favorisé l’entraide entre habitants.</w:t>
      </w:r>
      <w:r>
        <w:rPr>
          <w:sz w:val="20"/>
        </w:rPr>
      </w:r>
      <w:r>
        <w:rPr>
          <w:sz w:val="20"/>
        </w:rPr>
      </w:r>
    </w:p>
    <w:p>
      <w:pPr>
        <w:pStyle w:val="949"/>
        <w:keepNext w:val="true"/>
        <w:pBdr/>
        <w:spacing w:line="259" w:lineRule="auto"/>
        <w:ind w:right="137" w:left="563"/>
        <w:jc w:val="both"/>
        <w:rPr>
          <w:highlight w:val="none"/>
        </w:rPr>
      </w:pPr>
      <w:r>
        <w:t xml:space="preserve">4/</w:t>
      </w:r>
      <w:r>
        <w:rPr>
          <w:spacing w:val="-3"/>
        </w:rPr>
        <w:t xml:space="preserve"> </w:t>
      </w:r>
      <w:r>
        <w:t xml:space="preserve">Décrivez</w:t>
      </w:r>
      <w:r>
        <w:rPr>
          <w:spacing w:val="-4"/>
        </w:rPr>
        <w:t xml:space="preserve"> </w:t>
      </w:r>
      <w:r>
        <w:t xml:space="preserve">l’action</w:t>
      </w:r>
      <w:r>
        <w:rPr>
          <w:spacing w:val="-2"/>
        </w:rPr>
        <w:t xml:space="preserve"> </w:t>
      </w:r>
      <w:r>
        <w:t xml:space="preserve">mise</w:t>
      </w:r>
      <w:r>
        <w:rPr>
          <w:spacing w:val="-3"/>
        </w:rPr>
        <w:t xml:space="preserve"> </w:t>
      </w:r>
      <w:r>
        <w:t xml:space="preserve">en</w:t>
      </w:r>
      <w:r>
        <w:rPr>
          <w:spacing w:val="-2"/>
        </w:rPr>
        <w:t xml:space="preserve"> </w:t>
      </w:r>
      <w:r>
        <w:t xml:space="preserve">œuvre</w:t>
      </w:r>
      <w:r>
        <w:rPr>
          <w:spacing w:val="-1"/>
        </w:rPr>
        <w:t xml:space="preserve"> </w:t>
      </w:r>
      <w:r>
        <w:t xml:space="preserve">:</w:t>
      </w:r>
      <w:r>
        <w:rPr>
          <w:spacing w:val="-4"/>
        </w:rPr>
        <w:t xml:space="preserve"> </w:t>
      </w:r>
      <w:r>
        <w:t xml:space="preserve">nombre</w:t>
      </w:r>
      <w:r>
        <w:rPr>
          <w:spacing w:val="-3"/>
        </w:rPr>
        <w:t xml:space="preserve"> </w:t>
      </w:r>
      <w:r>
        <w:t xml:space="preserve">de</w:t>
      </w:r>
      <w:r>
        <w:rPr>
          <w:spacing w:val="-3"/>
        </w:rPr>
        <w:t xml:space="preserve"> </w:t>
      </w:r>
      <w:r>
        <w:t xml:space="preserve">permanences,</w:t>
      </w:r>
      <w:r>
        <w:rPr>
          <w:spacing w:val="-2"/>
        </w:rPr>
        <w:t xml:space="preserve"> </w:t>
      </w:r>
      <w:r>
        <w:t xml:space="preserve">nombre</w:t>
      </w:r>
      <w:r>
        <w:rPr>
          <w:spacing w:val="-3"/>
        </w:rPr>
        <w:t xml:space="preserve"> </w:t>
      </w:r>
      <w:r>
        <w:t xml:space="preserve">de</w:t>
      </w:r>
      <w:r>
        <w:rPr>
          <w:spacing w:val="-3"/>
        </w:rPr>
        <w:t xml:space="preserve"> </w:t>
      </w:r>
      <w:r>
        <w:t xml:space="preserve">mini-stages</w:t>
      </w:r>
      <w:r>
        <w:rPr>
          <w:spacing w:val="-3"/>
        </w:rPr>
        <w:t xml:space="preserve"> </w:t>
      </w:r>
      <w:r>
        <w:t xml:space="preserve">réalisés, nombre</w:t>
      </w:r>
      <w:r>
        <w:rPr>
          <w:spacing w:val="-3"/>
        </w:rPr>
        <w:t xml:space="preserve"> </w:t>
      </w:r>
      <w:r>
        <w:t xml:space="preserve">de</w:t>
      </w:r>
      <w:r>
        <w:rPr>
          <w:spacing w:val="-3"/>
        </w:rPr>
        <w:t xml:space="preserve"> </w:t>
      </w:r>
      <w:r>
        <w:t xml:space="preserve">participants,</w:t>
      </w:r>
      <w:r>
        <w:rPr>
          <w:spacing w:val="-4"/>
        </w:rPr>
        <w:t xml:space="preserve"> </w:t>
      </w:r>
      <w:r>
        <w:t xml:space="preserve">descriptif</w:t>
      </w:r>
      <w:r>
        <w:rPr>
          <w:spacing w:val="-4"/>
        </w:rPr>
        <w:t xml:space="preserve"> </w:t>
      </w:r>
      <w:r>
        <w:t xml:space="preserve">du</w:t>
      </w:r>
      <w:r>
        <w:rPr>
          <w:spacing w:val="-2"/>
        </w:rPr>
        <w:t xml:space="preserve"> </w:t>
      </w:r>
      <w:r>
        <w:t xml:space="preserve">contenu</w:t>
      </w:r>
      <w:r>
        <w:rPr>
          <w:spacing w:val="-2"/>
        </w:rPr>
        <w:t xml:space="preserve"> </w:t>
      </w:r>
      <w:r>
        <w:t xml:space="preserve">des</w:t>
      </w:r>
      <w:r>
        <w:rPr>
          <w:spacing w:val="-3"/>
        </w:rPr>
        <w:t xml:space="preserve"> </w:t>
      </w:r>
      <w:r>
        <w:t xml:space="preserve">actions</w:t>
      </w:r>
      <w:r>
        <w:rPr>
          <w:spacing w:val="-3"/>
        </w:rPr>
        <w:t xml:space="preserve"> </w:t>
      </w:r>
      <w:r>
        <w:t xml:space="preserve">et</w:t>
      </w:r>
      <w:r>
        <w:rPr>
          <w:spacing w:val="-2"/>
        </w:rPr>
        <w:t xml:space="preserve"> </w:t>
      </w:r>
      <w:r>
        <w:t xml:space="preserve">des</w:t>
      </w:r>
      <w:r>
        <w:rPr>
          <w:spacing w:val="-3"/>
        </w:rPr>
        <w:t xml:space="preserve"> </w:t>
      </w:r>
      <w:r>
        <w:t xml:space="preserve">résultats (production</w:t>
      </w:r>
      <w:r>
        <w:rPr>
          <w:spacing w:val="-2"/>
        </w:rPr>
        <w:t xml:space="preserve"> </w:t>
      </w:r>
      <w:r>
        <w:t xml:space="preserve">réalisées par les jeunes)</w:t>
      </w:r>
      <w:r>
        <w:rPr>
          <w:highlight w:val="none"/>
        </w:rPr>
      </w:r>
    </w:p>
    <w:p w14:paraId="545BED15">
      <w:pPr>
        <w:pStyle w:val="949"/>
        <w:keepNext w:val="true"/>
        <w:pBdr/>
        <w:spacing w:line="259" w:lineRule="auto"/>
        <w:ind w:right="137" w:left="563"/>
        <w:jc w:val="both"/>
        <w:rPr/>
      </w:pPr>
      <w:r>
        <w:rPr>
          <w:highlight w:val="none"/>
        </w:rPr>
      </w:r>
      <w:r>
        <w:rPr>
          <w:highlight w:val="none"/>
        </w:rPr>
      </w:r>
      <w:r/>
    </w:p>
    <w:p>
      <w:pPr>
        <w:pStyle w:val="949"/>
        <w:pBdr/>
        <w:spacing w:after="80" w:before="40" w:line="252" w:lineRule="auto"/>
        <w:ind/>
        <w:rPr>
          <w:sz w:val="11"/>
        </w:rPr>
      </w:pPr>
      <w:r>
        <w:rPr>
          <w:rFonts w:ascii="Arial" w:hAnsi="Arial" w:eastAsia="Arial"/>
          <w:b/>
          <w:sz w:val="19"/>
        </w:rPr>
        <w:t xml:space="preserve">L’action s’est organisée autour de trois axes complémentaires :</w:t>
      </w:r>
      <w:r>
        <w:rPr>
          <w:sz w:val="11"/>
        </w:rPr>
      </w:r>
      <w:r>
        <w:rPr>
          <w:sz w:val="11"/>
        </w:rPr>
      </w:r>
    </w:p>
    <w:p>
      <w:pPr>
        <w:pStyle w:val="949"/>
        <w:pBdr/>
        <w:spacing w:after="80" w:before="40" w:line="252" w:lineRule="auto"/>
        <w:ind/>
        <w:rPr>
          <w:sz w:val="20"/>
        </w:rPr>
      </w:pPr>
      <w:r>
        <w:rPr>
          <w:rFonts w:ascii="Arial" w:hAnsi="Arial" w:eastAsia="Arial"/>
          <w:b/>
          <w:sz w:val="19"/>
        </w:rPr>
        <w:t xml:space="preserve">1. Libre en fête : </w:t>
      </w:r>
      <w:r>
        <w:rPr>
          <w:rFonts w:ascii="Arial" w:hAnsi="Arial" w:eastAsia="Arial"/>
          <w:b w:val="0"/>
          <w:sz w:val="19"/>
        </w:rPr>
        <w:t xml:space="preserve">l’édition 2026 a réuni 55 participants différents. Une projection du documentaire Nothing to Hide a accueilli 25 personnes et a été suivie d’un échange sur la vie privée et les données personnelles. Le forum du samedi a accueilli 30</w:t>
      </w:r>
      <w:r>
        <w:rPr>
          <w:rFonts w:ascii="Arial" w:hAnsi="Arial" w:eastAsia="Arial"/>
          <w:b w:val="0"/>
          <w:sz w:val="19"/>
        </w:rPr>
        <w:t xml:space="preserve"> visiteurs et mobilisé 10 bénévoles autour de stands consacrés à GNU/Linux, LibreOffice, F-Droid, OpenStreetMap, Blender, GIMP et GRAMPS. Une grainothèque a aussi été créée afin d’élargir la notion de culture libre au partage des ressources et des savoirs.</w:t>
      </w:r>
      <w:r>
        <w:rPr>
          <w:sz w:val="20"/>
        </w:rPr>
      </w:r>
      <w:r>
        <w:rPr>
          <w:sz w:val="20"/>
        </w:rPr>
      </w:r>
    </w:p>
    <w:p>
      <w:pPr>
        <w:pStyle w:val="949"/>
        <w:pBdr/>
        <w:spacing w:after="80" w:before="40" w:line="252" w:lineRule="auto"/>
        <w:ind/>
        <w:rPr/>
      </w:pPr>
      <w:r>
        <w:rPr>
          <w:rFonts w:ascii="Arial" w:hAnsi="Arial" w:eastAsia="Arial"/>
          <w:b/>
          <w:sz w:val="19"/>
        </w:rPr>
        <w:t xml:space="preserve">2. Permanences du GULL : </w:t>
      </w:r>
      <w:r>
        <w:rPr>
          <w:rFonts w:ascii="Arial" w:hAnsi="Arial" w:eastAsia="Arial"/>
          <w:b w:val="0"/>
          <w:sz w:val="19"/>
        </w:rPr>
        <w:t xml:space="preserve">15 permanences ont été organisées entre septembre 2025 et août 2026, à raison d’environ deux rencontres par mois. Une dizaine de bénévoles ont accompagné les habitants pour installer Linux, sauvegarder ou transfé</w:t>
      </w:r>
      <w:r>
        <w:rPr>
          <w:rFonts w:ascii="Arial" w:hAnsi="Arial" w:eastAsia="Arial"/>
          <w:b w:val="0"/>
          <w:sz w:val="19"/>
        </w:rPr>
        <w:t xml:space="preserve">rer des données, remettre des ordinateurs en fonctionnement et découvrir des logiciels libres. Environ 20 ordinateurs ont été équipés ou rééquipés avec Linux. </w:t>
      </w:r>
      <w:r/>
    </w:p>
    <w:p>
      <w:pPr>
        <w:pStyle w:val="949"/>
        <w:pBdr/>
        <w:spacing w:after="80" w:before="40" w:line="252" w:lineRule="auto"/>
        <w:ind/>
        <w:rPr/>
      </w:pPr>
      <w:r>
        <w:rPr>
          <w:rFonts w:ascii="Arial" w:hAnsi="Arial" w:eastAsia="Arial"/>
          <w:b/>
          <w:sz w:val="19"/>
        </w:rPr>
        <w:t xml:space="preserve">3. Interventions bénévoles à domicile : </w:t>
      </w:r>
      <w:r>
        <w:rPr>
          <w:rFonts w:ascii="Arial" w:hAnsi="Arial" w:eastAsia="Arial"/>
          <w:b w:val="0"/>
          <w:sz w:val="19"/>
        </w:rPr>
        <w:t xml:space="preserve">le dis</w:t>
      </w:r>
      <w:r>
        <w:rPr>
          <w:rFonts w:ascii="Arial" w:hAnsi="Arial" w:eastAsia="Arial"/>
          <w:b w:val="0"/>
          <w:sz w:val="19"/>
        </w:rPr>
        <w:t xml:space="preserve">positif a été préparé et testé auprès de 2 foyers. Les interventions ont été réalisées en binôme. L’une d’elles concernait notamment un dépannage lié à l’installation de caméras de surveillance. Les habitants accompagnés ont fait des retours très positifs.</w:t>
      </w:r>
      <w:r/>
    </w:p>
    <w:p>
      <w:pPr>
        <w:pStyle w:val="949"/>
        <w:pBdr/>
        <w:spacing w:after="80" w:before="40" w:line="252" w:lineRule="auto"/>
        <w:ind/>
        <w:rPr/>
      </w:pPr>
      <w:r>
        <w:rPr>
          <w:rFonts w:ascii="Arial" w:hAnsi="Arial" w:eastAsia="Arial"/>
          <w:b/>
          <w:sz w:val="19"/>
        </w:rPr>
        <w:t xml:space="preserve">Matériel : </w:t>
      </w:r>
      <w:r>
        <w:rPr>
          <w:rFonts w:ascii="Arial" w:hAnsi="Arial" w:eastAsia="Arial"/>
          <w:b w:val="0"/>
          <w:sz w:val="19"/>
        </w:rPr>
        <w:t xml:space="preserve">une valise de transport d’ordinateurs avec recharge intégrée et un chariot de transport ont été achetés afin de faciliter les animations et les interventions des bénévoles.</w:t>
      </w:r>
      <w:r/>
    </w:p>
    <w:p>
      <w:pPr>
        <w:keepNext w:val="true"/>
        <w:pBdr/>
        <w:spacing w:before="0" w:line="259" w:lineRule="auto"/>
        <w:ind w:right="136" w:firstLine="0" w:left="563"/>
        <w:jc w:val="both"/>
        <w:rPr>
          <w:sz w:val="18"/>
        </w:rPr>
      </w:pPr>
      <w:r>
        <w:rPr>
          <w:sz w:val="18"/>
        </w:rPr>
        <w:t xml:space="preserve">5/Au regard des objectifs annoncés, quels </w:t>
      </w:r>
      <w:r>
        <w:rPr>
          <w:b/>
          <w:sz w:val="18"/>
        </w:rPr>
        <w:t xml:space="preserve">points forts </w:t>
      </w:r>
      <w:r>
        <w:rPr>
          <w:sz w:val="18"/>
        </w:rPr>
        <w:t xml:space="preserve">et </w:t>
      </w:r>
      <w:r>
        <w:rPr>
          <w:b/>
          <w:sz w:val="18"/>
        </w:rPr>
        <w:t xml:space="preserve">points d’amélioration </w:t>
      </w:r>
      <w:r>
        <w:rPr>
          <w:sz w:val="18"/>
        </w:rPr>
        <w:t xml:space="preserve">avez-vous identifiés ?</w:t>
      </w:r>
      <w:r>
        <w:rPr>
          <w:sz w:val="18"/>
        </w:rPr>
      </w:r>
      <w:r>
        <w:rPr>
          <w:sz w:val="18"/>
        </w:rPr>
      </w:r>
    </w:p>
    <w:p>
      <w:pPr>
        <w:pStyle w:val="949"/>
        <w:pBdr/>
        <w:spacing w:after="80" w:before="40" w:line="252" w:lineRule="auto"/>
        <w:ind/>
        <w:rPr>
          <w:sz w:val="20"/>
        </w:rPr>
      </w:pPr>
      <w:r>
        <w:rPr>
          <w:rFonts w:ascii="Arial" w:hAnsi="Arial" w:eastAsia="Arial"/>
          <w:b/>
          <w:sz w:val="19"/>
        </w:rPr>
        <w:t xml:space="preserve">Points forts : </w:t>
      </w:r>
      <w:r>
        <w:rPr>
          <w:rFonts w:ascii="Arial" w:hAnsi="Arial" w:eastAsia="Arial"/>
          <w:b w:val="0"/>
          <w:sz w:val="19"/>
        </w:rPr>
        <w:t xml:space="preserve">l’objectif de fréquentation de Libre en fête a été dépassé ; les échanges avec les </w:t>
      </w:r>
      <w:r>
        <w:rPr>
          <w:rFonts w:ascii="Arial" w:hAnsi="Arial" w:eastAsia="Arial"/>
          <w:b w:val="0"/>
          <w:sz w:val="19"/>
        </w:rPr>
        <w:t xml:space="preserve">participants ont été riches ; une dizaine de bénévoles ont été mobilisés ; le GULL s’est progressivement structuré ; une vingtaine d’ordinateurs ont pu être prolongés grâce à Linux ; les premières interventions à domicile ont confirmé l’utilité du service.</w:t>
      </w:r>
      <w:r>
        <w:rPr>
          <w:sz w:val="20"/>
        </w:rPr>
      </w:r>
      <w:r>
        <w:rPr>
          <w:sz w:val="20"/>
        </w:rPr>
      </w:r>
    </w:p>
    <w:p>
      <w:pPr>
        <w:pStyle w:val="949"/>
        <w:pBdr/>
        <w:spacing w:after="80" w:before="40" w:line="252" w:lineRule="auto"/>
        <w:ind/>
        <w:rPr>
          <w:sz w:val="20"/>
        </w:rPr>
      </w:pPr>
      <w:r>
        <w:rPr>
          <w:rFonts w:ascii="Arial" w:hAnsi="Arial" w:eastAsia="Arial"/>
          <w:b/>
          <w:sz w:val="19"/>
        </w:rPr>
        <w:t xml:space="preserve">Autres apports : </w:t>
      </w:r>
      <w:r>
        <w:rPr>
          <w:rFonts w:ascii="Arial" w:hAnsi="Arial" w:eastAsia="Arial"/>
          <w:b w:val="0"/>
          <w:sz w:val="19"/>
        </w:rPr>
        <w:t xml:space="preserve">la complémentarité entre sensibilisation collective,</w:t>
      </w:r>
      <w:r>
        <w:rPr>
          <w:rFonts w:ascii="Arial" w:hAnsi="Arial" w:eastAsia="Arial"/>
          <w:b w:val="0"/>
          <w:sz w:val="19"/>
        </w:rPr>
        <w:t xml:space="preserve"> permanences régulières et accompagnement individuel a permis de répondre à différents besoins. La fin du support de Windows 10 a rendu les enjeux du logiciel libre, du réemploi et de la réduction des déchets électroniques très concrets pour les habitants.</w:t>
      </w:r>
      <w:r>
        <w:rPr>
          <w:sz w:val="20"/>
        </w:rPr>
      </w:r>
      <w:r>
        <w:rPr>
          <w:sz w:val="20"/>
        </w:rPr>
      </w:r>
    </w:p>
    <w:p>
      <w:pPr>
        <w:pStyle w:val="949"/>
        <w:pBdr/>
        <w:spacing w:after="80" w:before="40" w:line="252" w:lineRule="auto"/>
        <w:ind/>
        <w:rPr>
          <w:sz w:val="20"/>
        </w:rPr>
      </w:pPr>
      <w:r>
        <w:rPr>
          <w:rFonts w:ascii="Arial" w:hAnsi="Arial" w:eastAsia="Arial"/>
          <w:b/>
          <w:sz w:val="19"/>
        </w:rPr>
        <w:t xml:space="preserve">Points d’amélioration : </w:t>
      </w:r>
      <w:r>
        <w:rPr>
          <w:rFonts w:ascii="Arial" w:hAnsi="Arial" w:eastAsia="Arial"/>
          <w:b w:val="0"/>
          <w:sz w:val="19"/>
        </w:rPr>
        <w:t xml:space="preserve">la communicatio</w:t>
      </w:r>
      <w:r>
        <w:rPr>
          <w:rFonts w:ascii="Arial" w:hAnsi="Arial" w:eastAsia="Arial"/>
          <w:b w:val="0"/>
          <w:sz w:val="19"/>
        </w:rPr>
        <w:t xml:space="preserve">n doit davantage toucher les personnes débutantes et celles qui ne se sentent pas concernées par les logiciels libres. Le nombre de permanences est resté inférieur à l’objectif initial de 20, en raison du temps nécessaire pour structurer le nouveau groupe.</w:t>
      </w:r>
      <w:r>
        <w:rPr>
          <w:sz w:val="20"/>
        </w:rPr>
      </w:r>
      <w:r>
        <w:rPr>
          <w:sz w:val="20"/>
        </w:rPr>
      </w:r>
    </w:p>
    <w:p>
      <w:pPr>
        <w:pStyle w:val="949"/>
        <w:pBdr/>
        <w:spacing w:after="80" w:before="40" w:line="252" w:lineRule="auto"/>
        <w:ind/>
        <w:rPr>
          <w:sz w:val="20"/>
        </w:rPr>
      </w:pPr>
      <w:r>
        <w:rPr>
          <w:rFonts w:ascii="Arial" w:hAnsi="Arial" w:eastAsia="Arial"/>
          <w:b w:val="0"/>
          <w:sz w:val="19"/>
        </w:rPr>
        <w:t xml:space="preserve">Le service d’intervention à domicile a également démarré plus lentement que pr</w:t>
      </w:r>
      <w:r>
        <w:rPr>
          <w:rFonts w:ascii="Arial" w:hAnsi="Arial" w:eastAsia="Arial"/>
          <w:b w:val="0"/>
          <w:sz w:val="19"/>
        </w:rPr>
        <w:t xml:space="preserve">évu : 2 foyers ont été accompagnés, contre un objectif de 15 foyers et 20 interventions. Il reste à préciser le cadre, les demandes prises en charge et les outils de suivi. Le suivi statistique des participants, notamment par âge, doit aussi être amélioré.</w:t>
      </w:r>
      <w:r>
        <w:rPr>
          <w:sz w:val="20"/>
        </w:rPr>
      </w:r>
      <w:r>
        <w:rPr>
          <w:sz w:val="20"/>
        </w:rPr>
      </w:r>
    </w:p>
    <w:p>
      <w:pPr>
        <w:pStyle w:val="952"/>
        <w:keepNext w:val="true"/>
        <w:numPr>
          <w:ilvl w:val="0"/>
          <w:numId w:val="1"/>
        </w:numPr>
        <w:pBdr/>
        <w:tabs>
          <w:tab w:val="left" w:leader="none" w:pos="562"/>
        </w:tabs>
        <w:spacing w:after="0" w:before="83" w:line="240" w:lineRule="auto"/>
        <w:ind w:right="0" w:hanging="359" w:left="562"/>
        <w:jc w:val="left"/>
        <w:rPr>
          <w:sz w:val="18"/>
        </w:rPr>
      </w:pPr>
      <w:r>
        <w:rPr>
          <w:sz w:val="18"/>
        </w:rPr>
        <w:t xml:space="preserve">6/</w:t>
      </w:r>
      <w:r>
        <w:rPr>
          <w:spacing w:val="-6"/>
          <w:sz w:val="18"/>
        </w:rPr>
        <w:t xml:space="preserve"> </w:t>
      </w:r>
      <w:r>
        <w:rPr>
          <w:sz w:val="18"/>
        </w:rPr>
        <w:t xml:space="preserve">Avez-vous</w:t>
      </w:r>
      <w:r>
        <w:rPr>
          <w:spacing w:val="-2"/>
          <w:sz w:val="18"/>
        </w:rPr>
        <w:t xml:space="preserve"> </w:t>
      </w:r>
      <w:r>
        <w:rPr>
          <w:sz w:val="18"/>
        </w:rPr>
        <w:t xml:space="preserve">repéré</w:t>
      </w:r>
      <w:r>
        <w:rPr>
          <w:spacing w:val="-2"/>
          <w:sz w:val="18"/>
        </w:rPr>
        <w:t xml:space="preserve"> </w:t>
      </w:r>
      <w:r>
        <w:rPr>
          <w:sz w:val="18"/>
        </w:rPr>
        <w:t xml:space="preserve">de</w:t>
      </w:r>
      <w:r>
        <w:rPr>
          <w:spacing w:val="-2"/>
          <w:sz w:val="18"/>
        </w:rPr>
        <w:t xml:space="preserve"> </w:t>
      </w:r>
      <w:r>
        <w:rPr>
          <w:sz w:val="18"/>
        </w:rPr>
        <w:t xml:space="preserve">nouveaux</w:t>
      </w:r>
      <w:r>
        <w:rPr>
          <w:spacing w:val="-3"/>
          <w:sz w:val="18"/>
        </w:rPr>
        <w:t xml:space="preserve"> </w:t>
      </w:r>
      <w:r>
        <w:rPr>
          <w:sz w:val="18"/>
        </w:rPr>
        <w:t xml:space="preserve">besoins</w:t>
      </w:r>
      <w:r>
        <w:rPr>
          <w:spacing w:val="-2"/>
          <w:sz w:val="18"/>
        </w:rPr>
        <w:t xml:space="preserve"> </w:t>
      </w:r>
      <w:r>
        <w:rPr>
          <w:sz w:val="18"/>
        </w:rPr>
        <w:t xml:space="preserve">à</w:t>
      </w:r>
      <w:r>
        <w:rPr>
          <w:spacing w:val="-2"/>
          <w:sz w:val="18"/>
        </w:rPr>
        <w:t xml:space="preserve"> </w:t>
      </w:r>
      <w:r>
        <w:rPr>
          <w:sz w:val="18"/>
        </w:rPr>
        <w:t xml:space="preserve">la</w:t>
      </w:r>
      <w:r>
        <w:rPr>
          <w:spacing w:val="-2"/>
          <w:sz w:val="18"/>
        </w:rPr>
        <w:t xml:space="preserve"> </w:t>
      </w:r>
      <w:r>
        <w:rPr>
          <w:sz w:val="18"/>
        </w:rPr>
        <w:t xml:space="preserve">suite</w:t>
      </w:r>
      <w:r>
        <w:rPr>
          <w:spacing w:val="-5"/>
          <w:sz w:val="18"/>
        </w:rPr>
        <w:t xml:space="preserve"> </w:t>
      </w:r>
      <w:r>
        <w:rPr>
          <w:sz w:val="18"/>
        </w:rPr>
        <w:t xml:space="preserve">de</w:t>
      </w:r>
      <w:r>
        <w:rPr>
          <w:spacing w:val="-2"/>
          <w:sz w:val="18"/>
        </w:rPr>
        <w:t xml:space="preserve"> </w:t>
      </w:r>
      <w:r>
        <w:rPr>
          <w:sz w:val="18"/>
        </w:rPr>
        <w:t xml:space="preserve">cette</w:t>
      </w:r>
      <w:r>
        <w:rPr>
          <w:spacing w:val="-2"/>
          <w:sz w:val="18"/>
        </w:rPr>
        <w:t xml:space="preserve"> </w:t>
      </w:r>
      <w:r>
        <w:rPr>
          <w:sz w:val="18"/>
        </w:rPr>
        <w:t xml:space="preserve">action</w:t>
      </w:r>
      <w:r>
        <w:rPr>
          <w:spacing w:val="4"/>
          <w:sz w:val="18"/>
        </w:rPr>
        <w:t xml:space="preserve"> </w:t>
      </w:r>
      <w:r>
        <w:rPr>
          <w:sz w:val="18"/>
        </w:rPr>
        <w:t xml:space="preserve">?</w:t>
      </w:r>
      <w:r>
        <w:rPr>
          <w:spacing w:val="-2"/>
          <w:sz w:val="18"/>
        </w:rPr>
        <w:t xml:space="preserve"> </w:t>
      </w:r>
      <w:r>
        <w:rPr>
          <w:sz w:val="18"/>
        </w:rPr>
        <w:t xml:space="preserve">Si</w:t>
      </w:r>
      <w:r>
        <w:rPr>
          <w:spacing w:val="-1"/>
          <w:sz w:val="18"/>
        </w:rPr>
        <w:t xml:space="preserve"> </w:t>
      </w:r>
      <w:r>
        <w:rPr>
          <w:sz w:val="18"/>
        </w:rPr>
        <w:t xml:space="preserve">oui,</w:t>
      </w:r>
      <w:r>
        <w:rPr>
          <w:spacing w:val="-3"/>
          <w:sz w:val="18"/>
        </w:rPr>
        <w:t xml:space="preserve"> </w:t>
      </w:r>
      <w:r>
        <w:rPr>
          <w:sz w:val="18"/>
        </w:rPr>
        <w:t xml:space="preserve">lesquels</w:t>
      </w:r>
      <w:r>
        <w:rPr>
          <w:spacing w:val="-1"/>
          <w:sz w:val="18"/>
        </w:rPr>
        <w:t xml:space="preserve"> </w:t>
      </w:r>
      <w:r>
        <w:rPr>
          <w:spacing w:val="-10"/>
          <w:sz w:val="18"/>
        </w:rPr>
        <w:t xml:space="preserve">?</w:t>
      </w:r>
      <w:r>
        <w:rPr>
          <w:sz w:val="18"/>
        </w:rPr>
      </w:r>
      <w:r>
        <w:rPr>
          <w:sz w:val="18"/>
        </w:rPr>
      </w:r>
    </w:p>
    <w:p>
      <w:pPr>
        <w:pStyle w:val="949"/>
        <w:pBdr/>
        <w:spacing w:after="80" w:before="40" w:line="252" w:lineRule="auto"/>
        <w:ind/>
        <w:rPr>
          <w:sz w:val="9"/>
        </w:rPr>
      </w:pPr>
      <w:r>
        <w:rPr>
          <w:rFonts w:ascii="Arial" w:hAnsi="Arial" w:eastAsia="Arial"/>
          <w:b w:val="0"/>
          <w:sz w:val="19"/>
        </w:rPr>
        <w:t xml:space="preserve">Oui. La fin du support de Windows 10 a fait apparaître un besoin important d’information et d’accompagnement pour prolonger la durée de vie des ordinateurs, installer Linux et découvrir des alternatives gratuites aux logiciels propriétaires.</w:t>
      </w:r>
      <w:r>
        <w:rPr>
          <w:sz w:val="9"/>
        </w:rPr>
      </w:r>
      <w:r>
        <w:rPr>
          <w:sz w:val="9"/>
        </w:rPr>
      </w:r>
    </w:p>
    <w:p>
      <w:pPr>
        <w:pStyle w:val="949"/>
        <w:pBdr/>
        <w:spacing w:after="80" w:before="40" w:line="252" w:lineRule="auto"/>
        <w:ind/>
        <w:rPr>
          <w:sz w:val="20"/>
        </w:rPr>
      </w:pPr>
      <w:r>
        <w:rPr>
          <w:rFonts w:ascii="Arial" w:hAnsi="Arial" w:eastAsia="Arial"/>
          <w:b w:val="0"/>
          <w:sz w:val="19"/>
        </w:rPr>
        <w:t xml:space="preserve">Les premières interventions ont aussi confirmé le besoin d’un accompagnement à domicile pour les personnes </w:t>
      </w:r>
      <w:r>
        <w:rPr>
          <w:rFonts w:ascii="Arial" w:hAnsi="Arial" w:eastAsia="Arial"/>
          <w:b w:val="0"/>
          <w:sz w:val="19"/>
        </w:rPr>
        <w:t xml:space="preserve">qui ne peuvent pas déplacer leur matériel. Il est nécessaire de disposer d’une procédure simple de demande, d’un cadre clair pour les bénévoles, d’interventions en binôme, de matériel de transport adapté et d’outils simples pour suivre les accompagnements.</w:t>
      </w:r>
      <w:r>
        <w:rPr>
          <w:sz w:val="20"/>
        </w:rPr>
      </w:r>
      <w:r>
        <w:rPr>
          <w:sz w:val="20"/>
        </w:rPr>
      </w:r>
    </w:p>
    <w:p>
      <w:pPr>
        <w:pStyle w:val="951"/>
        <w:keepNext w:val="true"/>
        <w:pBdr/>
        <w:spacing/>
        <w:ind/>
        <w:rPr/>
      </w:pPr>
      <w:r>
        <w:t xml:space="preserve">7/</w:t>
      </w:r>
      <w:r>
        <w:rPr>
          <w:spacing w:val="-8"/>
        </w:rPr>
        <w:t xml:space="preserve"> </w:t>
      </w:r>
      <w:r>
        <w:t xml:space="preserve">Quelles</w:t>
      </w:r>
      <w:r>
        <w:rPr>
          <w:spacing w:val="-9"/>
        </w:rPr>
        <w:t xml:space="preserve"> </w:t>
      </w:r>
      <w:r>
        <w:t xml:space="preserve">perspectives</w:t>
      </w:r>
      <w:r>
        <w:rPr>
          <w:spacing w:val="-7"/>
        </w:rPr>
        <w:t xml:space="preserve"> </w:t>
      </w:r>
      <w:r>
        <w:t xml:space="preserve">envisagez-vous</w:t>
      </w:r>
      <w:r>
        <w:rPr>
          <w:spacing w:val="-6"/>
        </w:rPr>
        <w:t xml:space="preserve"> </w:t>
      </w:r>
      <w:r>
        <w:t xml:space="preserve">après</w:t>
      </w:r>
      <w:r>
        <w:rPr>
          <w:spacing w:val="-7"/>
        </w:rPr>
        <w:t xml:space="preserve"> </w:t>
      </w:r>
      <w:r>
        <w:t xml:space="preserve">avoir</w:t>
      </w:r>
      <w:r>
        <w:rPr>
          <w:spacing w:val="-6"/>
        </w:rPr>
        <w:t xml:space="preserve"> </w:t>
      </w:r>
      <w:r>
        <w:t xml:space="preserve">mené</w:t>
      </w:r>
      <w:r>
        <w:rPr>
          <w:spacing w:val="-10"/>
        </w:rPr>
        <w:t xml:space="preserve"> </w:t>
      </w:r>
      <w:r>
        <w:t xml:space="preserve">cette</w:t>
      </w:r>
      <w:r>
        <w:rPr>
          <w:spacing w:val="-7"/>
        </w:rPr>
        <w:t xml:space="preserve"> </w:t>
      </w:r>
      <w:r>
        <w:t xml:space="preserve">action</w:t>
      </w:r>
      <w:r>
        <w:rPr>
          <w:spacing w:val="-2"/>
        </w:rPr>
        <w:t xml:space="preserve"> </w:t>
      </w:r>
      <w:r>
        <w:rPr>
          <w:spacing w:val="-10"/>
        </w:rPr>
        <w:t xml:space="preserve">?</w:t>
      </w:r>
      <w:r/>
    </w:p>
    <w:p>
      <w:pPr>
        <w:pStyle w:val="949"/>
        <w:pBdr/>
        <w:spacing w:after="80" w:before="40" w:line="252" w:lineRule="auto"/>
        <w:ind/>
        <w:rPr>
          <w:sz w:val="20"/>
          <w:szCs w:val="20"/>
          <w:highlight w:val="none"/>
        </w:rPr>
      </w:pPr>
      <w:r>
        <w:rPr>
          <w:rFonts w:ascii="Arial" w:hAnsi="Arial" w:eastAsia="Arial"/>
          <w:b w:val="0"/>
          <w:sz w:val="19"/>
        </w:rPr>
        <w:t xml:space="preserve">Les trois axes</w:t>
      </w:r>
      <w:r>
        <w:rPr>
          <w:rFonts w:ascii="Arial" w:hAnsi="Arial" w:eastAsia="Arial"/>
          <w:b w:val="0"/>
          <w:sz w:val="19"/>
        </w:rPr>
        <w:t xml:space="preserve"> seront poursuivis la saison prochaine. Libre en fête sera reconduit avec une communication plus concrète et accessible au grand public. Les permanences du GULL seront stabilisées, avec un accueil renforcé des débutants, la poursuite des installations de L</w:t>
      </w:r>
      <w:r>
        <w:rPr>
          <w:rFonts w:ascii="Arial" w:hAnsi="Arial" w:eastAsia="Arial"/>
          <w:b w:val="0"/>
          <w:sz w:val="19"/>
        </w:rPr>
        <w:t xml:space="preserve">inux et la création de supports simples pour les nouveaux utilisateurs. Le service d’intervention à domicile sera développé progressivement : meilleure information des habitants, définition des demandes pouvant être prises en charge, procédure de sollicita</w:t>
      </w:r>
      <w:r>
        <w:rPr>
          <w:rFonts w:ascii="Arial" w:hAnsi="Arial" w:eastAsia="Arial"/>
          <w:b w:val="0"/>
          <w:sz w:val="19"/>
        </w:rPr>
        <w:t xml:space="preserve">tion, maintien des interventions en binôme et suivi des foyers accompagnés. Les nouveaux équipements faciliteront le transport du matériel. Enfin, un suivi chiffré plus précis sera mis en place pour les participants, les installations et les interventions.</w:t>
      </w:r>
      <w:r>
        <w:rPr>
          <w:sz w:val="20"/>
        </w:rPr>
      </w:r>
      <w:r>
        <w:rPr>
          <w:sz w:val="20"/>
        </w:rPr>
      </w:r>
    </w:p>
    <w:p w14:paraId="6CD654E3">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24"/>
          <w:szCs w:val="24"/>
        </w:rPr>
      </w:pP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4A097D9D">
      <w:pPr>
        <w:pBdr>
          <w:top w:val="none" w:color="000000" w:sz="4" w:space="0"/>
          <w:left w:val="none" w:color="000000" w:sz="4" w:space="0"/>
          <w:bottom w:val="none" w:color="000000" w:sz="4" w:space="0"/>
          <w:right w:val="none" w:color="000000" w:sz="4" w:space="0"/>
        </w:pBdr>
        <w:spacing/>
        <w:ind w:right="0" w:firstLine="0" w:left="0"/>
        <w:rPr>
          <w:rFonts w:ascii="Arial" w:hAnsi="Arial" w:cs="Arial"/>
          <w:sz w:val="19"/>
          <w:szCs w:val="19"/>
          <w:highlight w:val="none"/>
        </w:rPr>
      </w:pPr>
      <w:r>
        <w:rPr>
          <w:rFonts w:ascii="Arial" w:hAnsi="Arial" w:eastAsia="Arial" w:cs="Arial"/>
          <w:sz w:val="19"/>
          <w:szCs w:val="19"/>
        </w:rPr>
        <w:t xml:space="preserve">Nous tenons à remercier les différents partenaires qui ont rendu ces projets possibles ! </w:t>
      </w:r>
      <w:r>
        <w:rPr>
          <w:rFonts w:ascii="Arial" w:hAnsi="Arial" w:eastAsia="Arial" w:cs="Arial"/>
          <w:sz w:val="19"/>
          <w:szCs w:val="19"/>
        </w:rPr>
      </w:r>
      <w:r>
        <w:rPr>
          <w:rFonts w:ascii="Arial" w:hAnsi="Arial" w:eastAsia="Arial" w:cs="Arial"/>
          <w:sz w:val="19"/>
          <w:szCs w:val="19"/>
        </w:rPr>
      </w:r>
    </w:p>
    <w:p w14:paraId="59ACB37E">
      <w:pPr>
        <w:pBdr>
          <w:top w:val="none" w:color="000000" w:sz="4" w:space="0"/>
          <w:left w:val="none" w:color="000000" w:sz="4" w:space="0"/>
          <w:bottom w:val="none" w:color="000000" w:sz="4" w:space="0"/>
          <w:right w:val="none" w:color="000000" w:sz="4" w:space="0"/>
        </w:pBdr>
        <w:spacing/>
        <w:ind w:right="0" w:firstLine="0" w:left="0"/>
        <w:rPr>
          <w:rFonts w:ascii="Arial" w:hAnsi="Arial" w:eastAsia="Arial" w:cs="Arial"/>
          <w:sz w:val="19"/>
          <w:szCs w:val="19"/>
          <w:highlight w:val="none"/>
        </w:rPr>
      </w:pPr>
      <w:r>
        <w:rPr>
          <w:rFonts w:ascii="Arial" w:hAnsi="Arial" w:eastAsia="Arial" w:cs="Arial"/>
          <w:sz w:val="19"/>
          <w:szCs w:val="19"/>
        </w:rPr>
        <w:t xml:space="preserve">Ces projets ont été financé par : la Mednum 49, la CAF, la MSA, l'Assurance Maladie et Anjou Numérique</w:t>
      </w:r>
      <w:r>
        <w:rPr>
          <w:rFonts w:ascii="Arial" w:hAnsi="Arial" w:eastAsia="Arial" w:cs="Arial"/>
          <w:sz w:val="19"/>
          <w:szCs w:val="19"/>
        </w:rPr>
      </w:r>
      <w:r>
        <w:rPr>
          <w:rFonts w:ascii="Arial" w:hAnsi="Arial" w:cs="Arial"/>
          <w:sz w:val="19"/>
          <w:szCs w:val="19"/>
        </w:rPr>
      </w:r>
    </w:p>
    <w:p w14:paraId="43F52CFC">
      <w:pPr>
        <w:pBdr>
          <w:top w:val="none" w:color="000000" w:sz="4" w:space="0"/>
          <w:left w:val="none" w:color="000000" w:sz="4" w:space="0"/>
          <w:bottom w:val="none" w:color="000000" w:sz="4" w:space="0"/>
          <w:right w:val="none" w:color="000000" w:sz="4" w:space="0"/>
        </w:pBdr>
        <w:spacing/>
        <w:ind w:right="0" w:firstLine="0" w:left="0"/>
        <w:rPr>
          <w:rFonts w:ascii="Arial" w:hAnsi="Arial" w:cs="Arial"/>
          <w:sz w:val="19"/>
          <w:szCs w:val="19"/>
        </w:rPr>
      </w:pPr>
      <w:r>
        <w:rPr>
          <w:rFonts w:ascii="Arial" w:hAnsi="Arial" w:eastAsia="Arial" w:cs="Arial"/>
          <w:sz w:val="19"/>
          <w:szCs w:val="19"/>
          <w:highlight w:val="none"/>
        </w:rPr>
        <mc:AlternateContent>
          <mc:Choice Requires="wpg">
            <w:drawing>
              <wp:inline xmlns:wp="http://schemas.openxmlformats.org/drawingml/2006/wordprocessingDrawing" distT="0" distB="0" distL="0" distR="0">
                <wp:extent cx="1008212" cy="1621600"/>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898556" name=""/>
                        <pic:cNvPicPr>
                          <a:picLocks noChangeAspect="1"/>
                        </pic:cNvPicPr>
                        <pic:nvPr/>
                      </pic:nvPicPr>
                      <pic:blipFill rotWithShape="1">
                        <a:blip r:embed="rId11"/>
                        <a:stretch/>
                      </pic:blipFill>
                      <pic:spPr bwMode="auto">
                        <a:xfrm flipH="0" flipV="0">
                          <a:off x="0" y="0"/>
                          <a:ext cx="1008212" cy="16215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79.39pt;height:127.69pt;mso-wrap-distance-left:0.00pt;mso-wrap-distance-top:0.00pt;mso-wrap-distance-right:0.00pt;mso-wrap-distance-bottom:0.00pt;z-index:1;" stroked="false">
                <v:imagedata r:id="rId11" o:title=""/>
                <o:lock v:ext="edit" rotation="t"/>
              </v:shape>
            </w:pict>
          </mc:Fallback>
        </mc:AlternateContent>
      </w:r>
      <w:r>
        <w:rPr>
          <w:rFonts w:ascii="Arial" w:hAnsi="Arial" w:eastAsia="Arial" w:cs="Arial"/>
          <w:sz w:val="19"/>
          <w:szCs w:val="19"/>
          <w:highlight w:val="none"/>
        </w:rPr>
        <mc:AlternateContent>
          <mc:Choice Requires="wpg">
            <w:drawing>
              <wp:inline xmlns:wp="http://schemas.openxmlformats.org/drawingml/2006/wordprocessingDrawing" distT="0" distB="0" distL="0" distR="0">
                <wp:extent cx="1973625" cy="607732"/>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207768" name=""/>
                        <pic:cNvPicPr>
                          <a:picLocks noChangeAspect="1"/>
                        </pic:cNvPicPr>
                        <pic:nvPr/>
                      </pic:nvPicPr>
                      <pic:blipFill rotWithShape="1">
                        <a:blip r:embed="rId12"/>
                        <a:stretch/>
                      </pic:blipFill>
                      <pic:spPr bwMode="auto">
                        <a:xfrm flipH="0" flipV="0">
                          <a:off x="0" y="0"/>
                          <a:ext cx="1973624" cy="6077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155.40pt;height:47.85pt;mso-wrap-distance-left:0.00pt;mso-wrap-distance-top:0.00pt;mso-wrap-distance-right:0.00pt;mso-wrap-distance-bottom:0.00pt;z-index:1;" stroked="false">
                <v:imagedata r:id="rId12" o:title=""/>
                <o:lock v:ext="edit" rotation="t"/>
              </v:shape>
            </w:pict>
          </mc:Fallback>
        </mc:AlternateContent>
      </w:r>
      <w:r>
        <w:rPr>
          <w:rFonts w:ascii="Arial" w:hAnsi="Arial" w:eastAsia="Arial" w:cs="Arial"/>
          <w:sz w:val="19"/>
          <w:szCs w:val="19"/>
          <w:highlight w:val="none"/>
        </w:rPr>
        <mc:AlternateContent>
          <mc:Choice Requires="wpg">
            <w:drawing>
              <wp:inline xmlns:wp="http://schemas.openxmlformats.org/drawingml/2006/wordprocessingDrawing" distT="0" distB="0" distL="0" distR="0">
                <wp:extent cx="1553427" cy="969828"/>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617851" name=""/>
                        <pic:cNvPicPr>
                          <a:picLocks noChangeAspect="1"/>
                        </pic:cNvPicPr>
                        <pic:nvPr/>
                      </pic:nvPicPr>
                      <pic:blipFill rotWithShape="1">
                        <a:blip r:embed="rId13"/>
                        <a:stretch/>
                      </pic:blipFill>
                      <pic:spPr bwMode="auto">
                        <a:xfrm flipH="0" flipV="0">
                          <a:off x="0" y="0"/>
                          <a:ext cx="1553427" cy="9698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122.32pt;height:76.36pt;mso-wrap-distance-left:0.00pt;mso-wrap-distance-top:0.00pt;mso-wrap-distance-right:0.00pt;mso-wrap-distance-bottom:0.00pt;z-index:1;" stroked="false">
                <v:imagedata r:id="rId13" o:title=""/>
                <o:lock v:ext="edit" rotation="t"/>
              </v:shape>
            </w:pict>
          </mc:Fallback>
        </mc:AlternateContent>
        <mc:AlternateContent>
          <mc:Choice Requires="wpg">
            <w:drawing>
              <wp:inline xmlns:wp="http://schemas.openxmlformats.org/drawingml/2006/wordprocessingDrawing" distT="0" distB="0" distL="0" distR="0">
                <wp:extent cx="1488250" cy="148825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648979" name=""/>
                        <pic:cNvPicPr>
                          <a:picLocks noChangeAspect="1"/>
                        </pic:cNvPicPr>
                        <pic:nvPr/>
                      </pic:nvPicPr>
                      <pic:blipFill rotWithShape="1">
                        <a:blip r:embed="rId14"/>
                        <a:stretch/>
                      </pic:blipFill>
                      <pic:spPr bwMode="auto">
                        <a:xfrm flipH="0" flipV="0">
                          <a:off x="0" y="0"/>
                          <a:ext cx="1488249" cy="14882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117.19pt;height:117.19pt;mso-wrap-distance-left:0.00pt;mso-wrap-distance-top:0.00pt;mso-wrap-distance-right:0.00pt;mso-wrap-distance-bottom:0.00pt;z-index:1;" stroked="false">
                <v:imagedata r:id="rId14" o:title=""/>
                <o:lock v:ext="edit" rotation="t"/>
              </v:shape>
            </w:pict>
          </mc:Fallback>
        </mc:AlternateContent>
        <mc:AlternateContent>
          <mc:Choice Requires="wpg">
            <w:drawing>
              <wp:inline xmlns:wp="http://schemas.openxmlformats.org/drawingml/2006/wordprocessingDrawing" distT="0" distB="0" distL="0" distR="0">
                <wp:extent cx="2373675" cy="848086"/>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100892" name=""/>
                        <pic:cNvPicPr>
                          <a:picLocks noChangeAspect="1"/>
                        </pic:cNvPicPr>
                        <pic:nvPr/>
                      </pic:nvPicPr>
                      <pic:blipFill rotWithShape="1">
                        <a:blip r:embed="rId15"/>
                        <a:stretch/>
                      </pic:blipFill>
                      <pic:spPr bwMode="auto">
                        <a:xfrm flipH="0" flipV="0">
                          <a:off x="0" y="0"/>
                          <a:ext cx="2373674" cy="8480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86.90pt;height:66.78pt;mso-wrap-distance-left:0.00pt;mso-wrap-distance-top:0.00pt;mso-wrap-distance-right:0.00pt;mso-wrap-distance-bottom:0.00pt;z-index:1;" stroked="false">
                <v:imagedata r:id="rId15" o:title=""/>
                <o:lock v:ext="edit" rotation="t"/>
              </v:shape>
            </w:pict>
          </mc:Fallback>
        </mc:AlternateContent>
      </w:r>
      <w:r>
        <w:rPr>
          <w:rFonts w:ascii="Arial" w:hAnsi="Arial" w:eastAsia="Arial" w:cs="Arial"/>
          <w:sz w:val="19"/>
          <w:szCs w:val="19"/>
          <w:highlight w:val="none"/>
        </w:rPr>
      </w:r>
      <w:r>
        <w:rPr>
          <w:rFonts w:ascii="Arial" w:hAnsi="Arial" w:eastAsia="Arial" w:cs="Arial"/>
          <w:sz w:val="19"/>
          <w:szCs w:val="19"/>
          <w:highlight w:val="none"/>
        </w:rPr>
      </w:r>
    </w:p>
    <w:p w14:paraId="4156C3E1">
      <w:pPr>
        <w:pStyle w:val="949"/>
        <w:pBdr/>
        <w:spacing w:after="80" w:before="40" w:line="252" w:lineRule="auto"/>
        <w:ind/>
        <w:rPr>
          <w:sz w:val="20"/>
          <w:szCs w:val="20"/>
        </w:rPr>
      </w:pPr>
      <w:r>
        <w:rPr>
          <w:sz w:val="20"/>
          <w:highlight w:val="none"/>
        </w:rPr>
      </w:r>
      <w:r>
        <w:rPr>
          <w:sz w:val="20"/>
          <w:highlight w:val="none"/>
        </w:rPr>
      </w:r>
      <w:r>
        <w:rPr>
          <w:sz w:val="20"/>
          <w:highlight w:val="none"/>
        </w:rPr>
      </w:r>
    </w:p>
    <w:sectPr>
      <w:headerReference w:type="default" r:id="rId9"/>
      <w:footerReference w:type="default" r:id="rId10"/>
      <w:footnotePr/>
      <w:endnotePr/>
      <w:type w:val="continuous"/>
      <w:pgSz w:h="16840" w:orient="portrait" w:w="11910"/>
      <w:pgMar w:top="2000" w:right="1275" w:bottom="1300" w:left="1275" w:header="509" w:footer="1119" w:gutter="0"/>
      <w:pgNumType w:start="1"/>
      <w:cols w:num="1" w:sep="0" w:space="1701"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Arial MT">
    <w:panose1 w:val="020B0604020202020204"/>
  </w:font>
  <w:font w:name="Courier New">
    <w:panose1 w:val="02070309020205020404"/>
  </w:font>
  <w:font w:name="Verdana">
    <w:panose1 w:val="020B06040305040402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49"/>
      <w:pBdr/>
      <w:spacing w:line="14" w:lineRule="auto"/>
      <w:ind/>
      <w:rPr>
        <w:sz w:val="20"/>
      </w:rPr>
    </w:pPr>
    <w:r>
      <w:rPr>
        <w:sz w:val="20"/>
      </w:rPr>
    </w:r>
    <w:r/>
    <w:r>
      <w:rPr>
        <w:sz w:val="20"/>
      </w:rPr>
      <mc:AlternateContent>
        <mc:Choice Requires="wpg">
          <w:drawing>
            <wp:anchor xmlns:wp="http://schemas.openxmlformats.org/drawingml/2006/wordprocessingDrawing" xmlns:wp14="http://schemas.microsoft.com/office/word/2010/wordprocessingDrawing" distT="0" distB="0" distL="0" distR="0" simplePos="0" relativeHeight="487543296" behindDoc="1" locked="0" layoutInCell="1" allowOverlap="1">
              <wp:simplePos x="0" y="0"/>
              <wp:positionH relativeFrom="page">
                <wp:posOffset>6153150</wp:posOffset>
              </wp:positionH>
              <wp:positionV relativeFrom="page">
                <wp:posOffset>9842089</wp:posOffset>
              </wp:positionV>
              <wp:extent cx="522605" cy="164465"/>
              <wp:effectExtent l="0" t="0" r="0" b="0"/>
              <wp:wrapNone/>
              <wp:docPr id="1" name="Textbox 2"/>
              <wp:cNvGraphicFramePr/>
              <a:graphic xmlns:a="http://schemas.openxmlformats.org/drawingml/2006/main">
                <a:graphicData uri="http://schemas.microsoft.com/office/word/2010/wordprocessingShape">
                  <wps:wsp>
                    <wps:cNvPr id="0" name=""/>
                    <wps:cNvSpPr txBox="1"/>
                    <wps:spPr bwMode="auto">
                      <a:xfrm>
                        <a:off x="0" y="0"/>
                        <a:ext cx="522604" cy="164464"/>
                      </a:xfrm>
                      <a:prstGeom prst="rect">
                        <a:avLst/>
                      </a:prstGeom>
                    </wps:spPr>
                    <wps:txbx>
                      <w:txbxContent>
                        <w:p w14:paraId="7999B450">
                          <w:pPr>
                            <w:pStyle w:val="949"/>
                            <w:pBdr/>
                            <w:spacing w:before="20"/>
                            <w:ind w:left="20"/>
                            <w:rPr/>
                          </w:pPr>
                          <w:r>
                            <w:t xml:space="preserve">p.</w:t>
                          </w:r>
                          <w:r>
                            <w:rPr>
                              <w:spacing w:val="-2"/>
                            </w:rPr>
                            <w:t xml:space="preserve">12/12</w:t>
                          </w:r>
                          <w:r/>
                          <w:r/>
                        </w:p>
                      </w:txbxContent>
                    </wps:txbx>
                    <wps:bodyPr wrap="square" lIns="0" tIns="0" rIns="0" bIns="0" rtlCol="0">
                      <a:noAutofit/>
                    </wps:bodyPr>
                  </wps:wsp>
                </a:graphicData>
              </a:graphic>
            </wp:anchor>
          </w:drawing>
        </mc:Choice>
        <mc:Fallback>
          <w:pict>
            <v:shape id="shape 0" o:spid="_x0000_s0" o:spt="202" type="#_x0000_t202" style="position:absolute;z-index:-487543296;o:allowoverlap:true;o:allowincell:true;mso-position-horizontal-relative:page;margin-left:484.50pt;mso-position-horizontal:absolute;mso-position-vertical-relative:page;margin-top:774.97pt;mso-position-vertical:absolute;width:41.15pt;height:12.95pt;mso-wrap-distance-left:0.00pt;mso-wrap-distance-top:0.00pt;mso-wrap-distance-right:0.00pt;mso-wrap-distance-bottom:0.00pt;visibility:visible;" filled="f">
              <v:textbox inset="0,0,0,0">
                <w:txbxContent>
                  <w:p w14:paraId="7999B450">
                    <w:pPr>
                      <w:pStyle w:val="949"/>
                      <w:pBdr/>
                      <w:spacing w:before="20"/>
                      <w:ind w:left="20"/>
                      <w:rPr/>
                    </w:pPr>
                    <w:r>
                      <w:t xml:space="preserve">p.</w:t>
                    </w:r>
                    <w:r>
                      <w:rPr>
                        <w:spacing w:val="-2"/>
                      </w:rPr>
                      <w:t xml:space="preserve">12/12</w:t>
                    </w:r>
                    <w:r/>
                    <w:r/>
                  </w:p>
                </w:txbxContent>
              </v:textbox>
            </v:shape>
          </w:pict>
        </mc:Fallback>
      </mc:AlternateContent>
    </w:r>
    <w:r>
      <w:rPr>
        <w:sz w:val="20"/>
      </w:rPr>
    </w:r>
    <w:r>
      <w:rPr>
        <w:sz w:val="20"/>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49"/>
      <w:pBdr/>
      <w:spacing w:line="14" w:lineRule="auto"/>
      <w:ind/>
      <w:rPr>
        <w:sz w:val="20"/>
      </w:rPr>
    </w:pPr>
    <w:r>
      <w:rPr>
        <w:sz w:val="20"/>
      </w:rPr>
    </w:r>
    <w:r>
      <w:rPr>
        <w:sz w:val="20"/>
      </w:rPr>
    </w:r>
    <w:r>
      <w:rPr>
        <w:sz w:val="20"/>
      </w:r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o"/>
      <w:numFmt w:val="bullet"/>
      <w:pPr>
        <w:pBdr/>
        <w:spacing/>
        <w:ind w:hanging="360" w:left="563"/>
      </w:pPr>
      <w:rPr>
        <w:rFonts w:hint="default" w:ascii="Courier New" w:hAnsi="Courier New" w:eastAsia="Courier New" w:cs="Courier New"/>
        <w:b w:val="0"/>
        <w:bCs w:val="0"/>
        <w:i w:val="0"/>
        <w:iCs w:val="0"/>
        <w:spacing w:val="0"/>
        <w:sz w:val="18"/>
        <w:szCs w:val="18"/>
        <w:lang w:val="fr-FR" w:eastAsia="en-US" w:bidi="ar-SA"/>
      </w:rPr>
      <w:start w:val="0"/>
      <w:suff w:val="tab"/>
    </w:lvl>
    <w:lvl w:ilvl="1">
      <w:isLgl w:val="false"/>
      <w:lvlJc w:val="left"/>
      <w:lvlText w:val="•"/>
      <w:numFmt w:val="bullet"/>
      <w:pPr>
        <w:pBdr/>
        <w:spacing/>
        <w:ind w:hanging="360" w:left="1439"/>
      </w:pPr>
      <w:rPr>
        <w:rFonts w:hint="default"/>
        <w:lang w:val="fr-FR" w:eastAsia="en-US" w:bidi="ar-SA"/>
      </w:rPr>
      <w:start w:val="0"/>
      <w:suff w:val="tab"/>
    </w:lvl>
    <w:lvl w:ilvl="2">
      <w:isLgl w:val="false"/>
      <w:lvlJc w:val="left"/>
      <w:lvlText w:val="•"/>
      <w:numFmt w:val="bullet"/>
      <w:pPr>
        <w:pBdr/>
        <w:spacing/>
        <w:ind w:hanging="360" w:left="2319"/>
      </w:pPr>
      <w:rPr>
        <w:rFonts w:hint="default"/>
        <w:lang w:val="fr-FR" w:eastAsia="en-US" w:bidi="ar-SA"/>
      </w:rPr>
      <w:start w:val="0"/>
      <w:suff w:val="tab"/>
    </w:lvl>
    <w:lvl w:ilvl="3">
      <w:isLgl w:val="false"/>
      <w:lvlJc w:val="left"/>
      <w:lvlText w:val="•"/>
      <w:numFmt w:val="bullet"/>
      <w:pPr>
        <w:pBdr/>
        <w:spacing/>
        <w:ind w:hanging="360" w:left="3198"/>
      </w:pPr>
      <w:rPr>
        <w:rFonts w:hint="default"/>
        <w:lang w:val="fr-FR" w:eastAsia="en-US" w:bidi="ar-SA"/>
      </w:rPr>
      <w:start w:val="0"/>
      <w:suff w:val="tab"/>
    </w:lvl>
    <w:lvl w:ilvl="4">
      <w:isLgl w:val="false"/>
      <w:lvlJc w:val="left"/>
      <w:lvlText w:val="•"/>
      <w:numFmt w:val="bullet"/>
      <w:pPr>
        <w:pBdr/>
        <w:spacing/>
        <w:ind w:hanging="360" w:left="4078"/>
      </w:pPr>
      <w:rPr>
        <w:rFonts w:hint="default"/>
        <w:lang w:val="fr-FR" w:eastAsia="en-US" w:bidi="ar-SA"/>
      </w:rPr>
      <w:start w:val="0"/>
      <w:suff w:val="tab"/>
    </w:lvl>
    <w:lvl w:ilvl="5">
      <w:isLgl w:val="false"/>
      <w:lvlJc w:val="left"/>
      <w:lvlText w:val="•"/>
      <w:numFmt w:val="bullet"/>
      <w:pPr>
        <w:pBdr/>
        <w:spacing/>
        <w:ind w:hanging="360" w:left="4958"/>
      </w:pPr>
      <w:rPr>
        <w:rFonts w:hint="default"/>
        <w:lang w:val="fr-FR" w:eastAsia="en-US" w:bidi="ar-SA"/>
      </w:rPr>
      <w:start w:val="0"/>
      <w:suff w:val="tab"/>
    </w:lvl>
    <w:lvl w:ilvl="6">
      <w:isLgl w:val="false"/>
      <w:lvlJc w:val="left"/>
      <w:lvlText w:val="•"/>
      <w:numFmt w:val="bullet"/>
      <w:pPr>
        <w:pBdr/>
        <w:spacing/>
        <w:ind w:hanging="360" w:left="5837"/>
      </w:pPr>
      <w:rPr>
        <w:rFonts w:hint="default"/>
        <w:lang w:val="fr-FR" w:eastAsia="en-US" w:bidi="ar-SA"/>
      </w:rPr>
      <w:start w:val="0"/>
      <w:suff w:val="tab"/>
    </w:lvl>
    <w:lvl w:ilvl="7">
      <w:isLgl w:val="false"/>
      <w:lvlJc w:val="left"/>
      <w:lvlText w:val="•"/>
      <w:numFmt w:val="bullet"/>
      <w:pPr>
        <w:pBdr/>
        <w:spacing/>
        <w:ind w:hanging="360" w:left="6717"/>
      </w:pPr>
      <w:rPr>
        <w:rFonts w:hint="default"/>
        <w:lang w:val="fr-FR" w:eastAsia="en-US" w:bidi="ar-SA"/>
      </w:rPr>
      <w:start w:val="0"/>
      <w:suff w:val="tab"/>
    </w:lvl>
    <w:lvl w:ilvl="8">
      <w:isLgl w:val="false"/>
      <w:lvlJc w:val="left"/>
      <w:lvlText w:val="•"/>
      <w:numFmt w:val="bullet"/>
      <w:pPr>
        <w:pBdr/>
        <w:spacing/>
        <w:ind w:hanging="360" w:left="7597"/>
      </w:pPr>
      <w:rPr>
        <w:rFonts w:hint="default"/>
        <w:lang w:val="fr-FR" w:eastAsia="en-US" w:bidi="ar-SA"/>
      </w:rPr>
      <w:start w:val="0"/>
      <w:suff w:val="tab"/>
    </w:lvl>
  </w:abstractNum>
  <w:abstractNum w:abstractNumId="1">
    <w:lvl w:ilvl="0">
      <w:isLgl w:val="false"/>
      <w:lvlJc w:val="left"/>
      <w:lvlText w:val="o"/>
      <w:numFmt w:val="bullet"/>
      <w:pPr>
        <w:pBdr/>
        <w:spacing/>
        <w:ind w:hanging="360" w:left="563"/>
      </w:pPr>
      <w:rPr>
        <w:rFonts w:hint="default" w:ascii="Courier New" w:hAnsi="Courier New" w:eastAsia="Courier New" w:cs="Courier New"/>
        <w:b w:val="0"/>
        <w:bCs w:val="0"/>
        <w:i w:val="0"/>
        <w:iCs w:val="0"/>
        <w:spacing w:val="0"/>
        <w:sz w:val="18"/>
        <w:szCs w:val="18"/>
        <w:lang w:val="fr-FR" w:eastAsia="en-US" w:bidi="ar-SA"/>
      </w:rPr>
      <w:start w:val="0"/>
      <w:suff w:val="tab"/>
    </w:lvl>
    <w:lvl w:ilvl="1">
      <w:isLgl w:val="false"/>
      <w:lvlJc w:val="left"/>
      <w:lvlText w:val="-"/>
      <w:numFmt w:val="bullet"/>
      <w:pPr>
        <w:pBdr/>
        <w:spacing/>
        <w:ind w:hanging="360" w:left="1130"/>
      </w:pPr>
      <w:rPr>
        <w:rFonts w:hint="default" w:ascii="Arial MT" w:hAnsi="Arial MT" w:eastAsia="Arial MT" w:cs="Arial MT"/>
        <w:b w:val="0"/>
        <w:bCs w:val="0"/>
        <w:i w:val="0"/>
        <w:iCs w:val="0"/>
        <w:spacing w:val="0"/>
        <w:sz w:val="18"/>
        <w:szCs w:val="18"/>
        <w:lang w:val="fr-FR" w:eastAsia="en-US" w:bidi="ar-SA"/>
      </w:rPr>
      <w:start w:val="0"/>
      <w:suff w:val="tab"/>
    </w:lvl>
    <w:lvl w:ilvl="2">
      <w:isLgl w:val="false"/>
      <w:lvlJc w:val="left"/>
      <w:lvlText w:val="•"/>
      <w:numFmt w:val="bullet"/>
      <w:pPr>
        <w:pBdr/>
        <w:spacing/>
        <w:ind w:hanging="360" w:left="2052"/>
      </w:pPr>
      <w:rPr>
        <w:rFonts w:hint="default"/>
        <w:lang w:val="fr-FR" w:eastAsia="en-US" w:bidi="ar-SA"/>
      </w:rPr>
      <w:start w:val="0"/>
      <w:suff w:val="tab"/>
    </w:lvl>
    <w:lvl w:ilvl="3">
      <w:isLgl w:val="false"/>
      <w:lvlJc w:val="left"/>
      <w:lvlText w:val="•"/>
      <w:numFmt w:val="bullet"/>
      <w:pPr>
        <w:pBdr/>
        <w:spacing/>
        <w:ind w:hanging="360" w:left="2965"/>
      </w:pPr>
      <w:rPr>
        <w:rFonts w:hint="default"/>
        <w:lang w:val="fr-FR" w:eastAsia="en-US" w:bidi="ar-SA"/>
      </w:rPr>
      <w:start w:val="0"/>
      <w:suff w:val="tab"/>
    </w:lvl>
    <w:lvl w:ilvl="4">
      <w:isLgl w:val="false"/>
      <w:lvlJc w:val="left"/>
      <w:lvlText w:val="•"/>
      <w:numFmt w:val="bullet"/>
      <w:pPr>
        <w:pBdr/>
        <w:spacing/>
        <w:ind w:hanging="360" w:left="3878"/>
      </w:pPr>
      <w:rPr>
        <w:rFonts w:hint="default"/>
        <w:lang w:val="fr-FR" w:eastAsia="en-US" w:bidi="ar-SA"/>
      </w:rPr>
      <w:start w:val="0"/>
      <w:suff w:val="tab"/>
    </w:lvl>
    <w:lvl w:ilvl="5">
      <w:isLgl w:val="false"/>
      <w:lvlJc w:val="left"/>
      <w:lvlText w:val="•"/>
      <w:numFmt w:val="bullet"/>
      <w:pPr>
        <w:pBdr/>
        <w:spacing/>
        <w:ind w:hanging="360" w:left="4791"/>
      </w:pPr>
      <w:rPr>
        <w:rFonts w:hint="default"/>
        <w:lang w:val="fr-FR" w:eastAsia="en-US" w:bidi="ar-SA"/>
      </w:rPr>
      <w:start w:val="0"/>
      <w:suff w:val="tab"/>
    </w:lvl>
    <w:lvl w:ilvl="6">
      <w:isLgl w:val="false"/>
      <w:lvlJc w:val="left"/>
      <w:lvlText w:val="•"/>
      <w:numFmt w:val="bullet"/>
      <w:pPr>
        <w:pBdr/>
        <w:spacing/>
        <w:ind w:hanging="360" w:left="5704"/>
      </w:pPr>
      <w:rPr>
        <w:rFonts w:hint="default"/>
        <w:lang w:val="fr-FR" w:eastAsia="en-US" w:bidi="ar-SA"/>
      </w:rPr>
      <w:start w:val="0"/>
      <w:suff w:val="tab"/>
    </w:lvl>
    <w:lvl w:ilvl="7">
      <w:isLgl w:val="false"/>
      <w:lvlJc w:val="left"/>
      <w:lvlText w:val="•"/>
      <w:numFmt w:val="bullet"/>
      <w:pPr>
        <w:pBdr/>
        <w:spacing/>
        <w:ind w:hanging="360" w:left="6617"/>
      </w:pPr>
      <w:rPr>
        <w:rFonts w:hint="default"/>
        <w:lang w:val="fr-FR" w:eastAsia="en-US" w:bidi="ar-SA"/>
      </w:rPr>
      <w:start w:val="0"/>
      <w:suff w:val="tab"/>
    </w:lvl>
    <w:lvl w:ilvl="8">
      <w:isLgl w:val="false"/>
      <w:lvlJc w:val="left"/>
      <w:lvlText w:val="•"/>
      <w:numFmt w:val="bullet"/>
      <w:pPr>
        <w:pBdr/>
        <w:spacing/>
        <w:ind w:hanging="360" w:left="7530"/>
      </w:pPr>
      <w:rPr>
        <w:rFonts w:hint="default"/>
        <w:lang w:val="fr-FR" w:eastAsia="en-US" w:bidi="ar-SA"/>
      </w:rPr>
      <w:start w:val="0"/>
      <w:suff w:val="tab"/>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ulTrailSpace w:val="true"/>
    <w:useFELayout w:val="tru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widowControl w:val="false"/>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6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Table Grid"/>
    <w:basedOn w:val="761"/>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Table Grid Light"/>
    <w:basedOn w:val="76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Plain Table 1"/>
    <w:basedOn w:val="76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Plain Table 2"/>
    <w:basedOn w:val="76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Plain Table 3"/>
    <w:basedOn w:val="76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Plain Table 4"/>
    <w:basedOn w:val="76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Plain Table 5"/>
    <w:basedOn w:val="76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Grid Table 1 Light"/>
    <w:basedOn w:val="76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Grid Table 1 Light - Accent 1"/>
    <w:basedOn w:val="76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Grid Table 1 Light - Accent 2"/>
    <w:basedOn w:val="76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Grid Table 1 Light - Accent 3"/>
    <w:basedOn w:val="76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Grid Table 1 Light - Accent 4"/>
    <w:basedOn w:val="76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Grid Table 1 Light - Accent 5"/>
    <w:basedOn w:val="76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Grid Table 1 Light - Accent 6"/>
    <w:basedOn w:val="76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Grid Table 2"/>
    <w:basedOn w:val="76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Grid Table 2 - Accent 1"/>
    <w:basedOn w:val="76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Grid Table 2 - Accent 2"/>
    <w:basedOn w:val="76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Grid Table 2 - Accent 3"/>
    <w:basedOn w:val="76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Grid Table 2 - Accent 4"/>
    <w:basedOn w:val="76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Grid Table 2 - Accent 5"/>
    <w:basedOn w:val="76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Grid Table 2 - Accent 6"/>
    <w:basedOn w:val="76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Grid Table 3"/>
    <w:basedOn w:val="76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Grid Table 3 - Accent 1"/>
    <w:basedOn w:val="76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Grid Table 3 - Accent 2"/>
    <w:basedOn w:val="76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Grid Table 3 - Accent 3"/>
    <w:basedOn w:val="76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Grid Table 3 - Accent 4"/>
    <w:basedOn w:val="76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Grid Table 3 - Accent 5"/>
    <w:basedOn w:val="76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Grid Table 3 - Accent 6"/>
    <w:basedOn w:val="76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Grid Table 4"/>
    <w:basedOn w:val="76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Grid Table 4 - Accent 1"/>
    <w:basedOn w:val="76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Grid Table 4 - Accent 2"/>
    <w:basedOn w:val="76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Grid Table 4 - Accent 3"/>
    <w:basedOn w:val="76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Grid Table 4 - Accent 4"/>
    <w:basedOn w:val="76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Grid Table 4 - Accent 5"/>
    <w:basedOn w:val="76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Grid Table 4 - Accent 6"/>
    <w:basedOn w:val="76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Grid Table 5 Dark"/>
    <w:basedOn w:val="76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Grid Table 5 Dark- Accent 1"/>
    <w:basedOn w:val="76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Grid Table 5 Dark - Accent 2"/>
    <w:basedOn w:val="76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Grid Table 5 Dark - Accent 3"/>
    <w:basedOn w:val="76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Grid Table 5 Dark- Accent 4"/>
    <w:basedOn w:val="76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Grid Table 5 Dark - Accent 5"/>
    <w:basedOn w:val="76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Grid Table 5 Dark - Accent 6"/>
    <w:basedOn w:val="76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Grid Table 6 Colorful"/>
    <w:basedOn w:val="76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05">
    <w:name w:val="Grid Table 6 Colorful - Accent 1"/>
    <w:basedOn w:val="76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06">
    <w:name w:val="Grid Table 6 Colorful - Accent 2"/>
    <w:basedOn w:val="76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07">
    <w:name w:val="Grid Table 6 Colorful - Accent 3"/>
    <w:basedOn w:val="76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08">
    <w:name w:val="Grid Table 6 Colorful - Accent 4"/>
    <w:basedOn w:val="76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09">
    <w:name w:val="Grid Table 6 Colorful - Accent 5"/>
    <w:basedOn w:val="76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10">
    <w:name w:val="Grid Table 6 Colorful - Accent 6"/>
    <w:basedOn w:val="76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11">
    <w:name w:val="Grid Table 7 Colorful"/>
    <w:basedOn w:val="76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Grid Table 7 Colorful - Accent 1"/>
    <w:basedOn w:val="76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Grid Table 7 Colorful - Accent 2"/>
    <w:basedOn w:val="76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Grid Table 7 Colorful - Accent 3"/>
    <w:basedOn w:val="76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Grid Table 7 Colorful - Accent 4"/>
    <w:basedOn w:val="76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Grid Table 7 Colorful - Accent 5"/>
    <w:basedOn w:val="76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Grid Table 7 Colorful - Accent 6"/>
    <w:basedOn w:val="76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List Table 1 Light"/>
    <w:basedOn w:val="76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List Table 1 Light - Accent 1"/>
    <w:basedOn w:val="76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List Table 1 Light - Accent 2"/>
    <w:basedOn w:val="76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List Table 1 Light - Accent 3"/>
    <w:basedOn w:val="76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List Table 1 Light - Accent 4"/>
    <w:basedOn w:val="76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List Table 1 Light - Accent 5"/>
    <w:basedOn w:val="76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List Table 1 Light - Accent 6"/>
    <w:basedOn w:val="76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List Table 2"/>
    <w:basedOn w:val="76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List Table 2 - Accent 1"/>
    <w:basedOn w:val="76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List Table 2 - Accent 2"/>
    <w:basedOn w:val="76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List Table 2 - Accent 3"/>
    <w:basedOn w:val="76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List Table 2 - Accent 4"/>
    <w:basedOn w:val="76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List Table 2 - Accent 5"/>
    <w:basedOn w:val="76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List Table 2 - Accent 6"/>
    <w:basedOn w:val="76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List Table 3"/>
    <w:basedOn w:val="76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List Table 3 - Accent 1"/>
    <w:basedOn w:val="76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List Table 3 - Accent 2"/>
    <w:basedOn w:val="76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List Table 3 - Accent 3"/>
    <w:basedOn w:val="76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List Table 3 - Accent 4"/>
    <w:basedOn w:val="76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List Table 3 - Accent 5"/>
    <w:basedOn w:val="76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List Table 3 - Accent 6"/>
    <w:basedOn w:val="76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List Table 4"/>
    <w:basedOn w:val="76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List Table 4 - Accent 1"/>
    <w:basedOn w:val="76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List Table 4 - Accent 2"/>
    <w:basedOn w:val="76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List Table 4 - Accent 3"/>
    <w:basedOn w:val="76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List Table 4 - Accent 4"/>
    <w:basedOn w:val="76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List Table 4 - Accent 5"/>
    <w:basedOn w:val="76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List Table 4 - Accent 6"/>
    <w:basedOn w:val="76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List Table 5 Dark"/>
    <w:basedOn w:val="76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47">
    <w:name w:val="List Table 5 Dark - Accent 1"/>
    <w:basedOn w:val="76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48">
    <w:name w:val="List Table 5 Dark - Accent 2"/>
    <w:basedOn w:val="76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49">
    <w:name w:val="List Table 5 Dark - Accent 3"/>
    <w:basedOn w:val="76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50">
    <w:name w:val="List Table 5 Dark - Accent 4"/>
    <w:basedOn w:val="76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51">
    <w:name w:val="List Table 5 Dark - Accent 5"/>
    <w:basedOn w:val="76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52">
    <w:name w:val="List Table 5 Dark - Accent 6"/>
    <w:basedOn w:val="76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53">
    <w:name w:val="List Table 6 Colorful"/>
    <w:basedOn w:val="76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List Table 6 Colorful - Accent 1"/>
    <w:basedOn w:val="76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List Table 6 Colorful - Accent 2"/>
    <w:basedOn w:val="76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List Table 6 Colorful - Accent 3"/>
    <w:basedOn w:val="76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List Table 6 Colorful - Accent 4"/>
    <w:basedOn w:val="76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List Table 6 Colorful - Accent 5"/>
    <w:basedOn w:val="76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List Table 6 Colorful - Accent 6"/>
    <w:basedOn w:val="76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List Table 7 Colorful"/>
    <w:basedOn w:val="76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61">
    <w:name w:val="List Table 7 Colorful - Accent 1"/>
    <w:basedOn w:val="76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862">
    <w:name w:val="List Table 7 Colorful - Accent 2"/>
    <w:basedOn w:val="76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863">
    <w:name w:val="List Table 7 Colorful - Accent 3"/>
    <w:basedOn w:val="76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864">
    <w:name w:val="List Table 7 Colorful - Accent 4"/>
    <w:basedOn w:val="76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865">
    <w:name w:val="List Table 7 Colorful - Accent 5"/>
    <w:basedOn w:val="76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866">
    <w:name w:val="List Table 7 Colorful - Accent 6"/>
    <w:basedOn w:val="76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867">
    <w:name w:val="Lined - Accent"/>
    <w:basedOn w:val="76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Lined - Accent 1"/>
    <w:basedOn w:val="76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Lined - Accent 2"/>
    <w:basedOn w:val="76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Lined - Accent 3"/>
    <w:basedOn w:val="76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Lined - Accent 4"/>
    <w:basedOn w:val="76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Lined - Accent 5"/>
    <w:basedOn w:val="76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Lined - Accent 6"/>
    <w:basedOn w:val="76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Bordered &amp; Lined - Accent"/>
    <w:basedOn w:val="76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Bordered &amp; Lined - Accent 1"/>
    <w:basedOn w:val="76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Bordered &amp; Lined - Accent 2"/>
    <w:basedOn w:val="76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Bordered &amp; Lined - Accent 3"/>
    <w:basedOn w:val="76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Bordered &amp; Lined - Accent 4"/>
    <w:basedOn w:val="76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Bordered &amp; Lined - Accent 5"/>
    <w:basedOn w:val="76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Bordered &amp; Lined - Accent 6"/>
    <w:basedOn w:val="76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Bordered"/>
    <w:basedOn w:val="76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Bordered - Accent 1"/>
    <w:basedOn w:val="76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Bordered - Accent 2"/>
    <w:basedOn w:val="76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Bordered - Accent 3"/>
    <w:basedOn w:val="76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Bordered - Accent 4"/>
    <w:basedOn w:val="76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Bordered - Accent 5"/>
    <w:basedOn w:val="76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Bordered - Accent 6"/>
    <w:basedOn w:val="76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88">
    <w:name w:val="Heading 3"/>
    <w:basedOn w:val="948"/>
    <w:next w:val="948"/>
    <w:link w:val="897"/>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89">
    <w:name w:val="Heading 4"/>
    <w:basedOn w:val="948"/>
    <w:next w:val="948"/>
    <w:link w:val="898"/>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90">
    <w:name w:val="Heading 5"/>
    <w:basedOn w:val="948"/>
    <w:next w:val="948"/>
    <w:link w:val="89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91">
    <w:name w:val="Heading 6"/>
    <w:basedOn w:val="948"/>
    <w:next w:val="948"/>
    <w:link w:val="90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92">
    <w:name w:val="Heading 7"/>
    <w:basedOn w:val="948"/>
    <w:next w:val="948"/>
    <w:link w:val="90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93">
    <w:name w:val="Heading 8"/>
    <w:basedOn w:val="948"/>
    <w:next w:val="948"/>
    <w:link w:val="90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94">
    <w:name w:val="Heading 9"/>
    <w:basedOn w:val="948"/>
    <w:next w:val="948"/>
    <w:link w:val="90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95">
    <w:name w:val="Heading 1 Char"/>
    <w:basedOn w:val="945"/>
    <w:link w:val="950"/>
    <w:uiPriority w:val="9"/>
    <w:pPr>
      <w:pBdr/>
      <w:spacing/>
      <w:ind/>
    </w:pPr>
    <w:rPr>
      <w:rFonts w:ascii="Arial" w:hAnsi="Arial" w:eastAsia="Arial" w:cs="Arial"/>
      <w:color w:val="0f4761" w:themeColor="accent1" w:themeShade="BF"/>
      <w:sz w:val="40"/>
      <w:szCs w:val="40"/>
    </w:rPr>
  </w:style>
  <w:style w:type="character" w:styleId="896">
    <w:name w:val="Heading 2 Char"/>
    <w:basedOn w:val="945"/>
    <w:link w:val="951"/>
    <w:uiPriority w:val="9"/>
    <w:pPr>
      <w:pBdr/>
      <w:spacing/>
      <w:ind/>
    </w:pPr>
    <w:rPr>
      <w:rFonts w:ascii="Arial" w:hAnsi="Arial" w:eastAsia="Arial" w:cs="Arial"/>
      <w:color w:val="0f4761" w:themeColor="accent1" w:themeShade="BF"/>
      <w:sz w:val="32"/>
      <w:szCs w:val="32"/>
    </w:rPr>
  </w:style>
  <w:style w:type="character" w:styleId="897">
    <w:name w:val="Heading 3 Char"/>
    <w:basedOn w:val="945"/>
    <w:link w:val="888"/>
    <w:uiPriority w:val="9"/>
    <w:pPr>
      <w:pBdr/>
      <w:spacing/>
      <w:ind/>
    </w:pPr>
    <w:rPr>
      <w:rFonts w:ascii="Arial" w:hAnsi="Arial" w:eastAsia="Arial" w:cs="Arial"/>
      <w:color w:val="0f4761" w:themeColor="accent1" w:themeShade="BF"/>
      <w:sz w:val="28"/>
      <w:szCs w:val="28"/>
    </w:rPr>
  </w:style>
  <w:style w:type="character" w:styleId="898">
    <w:name w:val="Heading 4 Char"/>
    <w:basedOn w:val="945"/>
    <w:link w:val="889"/>
    <w:uiPriority w:val="9"/>
    <w:pPr>
      <w:pBdr/>
      <w:spacing/>
      <w:ind/>
    </w:pPr>
    <w:rPr>
      <w:rFonts w:ascii="Arial" w:hAnsi="Arial" w:eastAsia="Arial" w:cs="Arial"/>
      <w:i/>
      <w:iCs/>
      <w:color w:val="0f4761" w:themeColor="accent1" w:themeShade="BF"/>
    </w:rPr>
  </w:style>
  <w:style w:type="character" w:styleId="899">
    <w:name w:val="Heading 5 Char"/>
    <w:basedOn w:val="945"/>
    <w:link w:val="890"/>
    <w:uiPriority w:val="9"/>
    <w:pPr>
      <w:pBdr/>
      <w:spacing/>
      <w:ind/>
    </w:pPr>
    <w:rPr>
      <w:rFonts w:ascii="Arial" w:hAnsi="Arial" w:eastAsia="Arial" w:cs="Arial"/>
      <w:color w:val="0f4761" w:themeColor="accent1" w:themeShade="BF"/>
    </w:rPr>
  </w:style>
  <w:style w:type="character" w:styleId="900">
    <w:name w:val="Heading 6 Char"/>
    <w:basedOn w:val="945"/>
    <w:link w:val="891"/>
    <w:uiPriority w:val="9"/>
    <w:pPr>
      <w:pBdr/>
      <w:spacing/>
      <w:ind/>
    </w:pPr>
    <w:rPr>
      <w:rFonts w:ascii="Arial" w:hAnsi="Arial" w:eastAsia="Arial" w:cs="Arial"/>
      <w:i/>
      <w:iCs/>
      <w:color w:val="595959" w:themeColor="text1" w:themeTint="A6"/>
    </w:rPr>
  </w:style>
  <w:style w:type="character" w:styleId="901">
    <w:name w:val="Heading 7 Char"/>
    <w:basedOn w:val="945"/>
    <w:link w:val="892"/>
    <w:uiPriority w:val="9"/>
    <w:pPr>
      <w:pBdr/>
      <w:spacing/>
      <w:ind/>
    </w:pPr>
    <w:rPr>
      <w:rFonts w:ascii="Arial" w:hAnsi="Arial" w:eastAsia="Arial" w:cs="Arial"/>
      <w:color w:val="595959" w:themeColor="text1" w:themeTint="A6"/>
    </w:rPr>
  </w:style>
  <w:style w:type="character" w:styleId="902">
    <w:name w:val="Heading 8 Char"/>
    <w:basedOn w:val="945"/>
    <w:link w:val="893"/>
    <w:uiPriority w:val="9"/>
    <w:pPr>
      <w:pBdr/>
      <w:spacing/>
      <w:ind/>
    </w:pPr>
    <w:rPr>
      <w:rFonts w:ascii="Arial" w:hAnsi="Arial" w:eastAsia="Arial" w:cs="Arial"/>
      <w:i/>
      <w:iCs/>
      <w:color w:val="272727" w:themeColor="text1" w:themeTint="D8"/>
    </w:rPr>
  </w:style>
  <w:style w:type="character" w:styleId="903">
    <w:name w:val="Heading 9 Char"/>
    <w:basedOn w:val="945"/>
    <w:link w:val="894"/>
    <w:uiPriority w:val="9"/>
    <w:pPr>
      <w:pBdr/>
      <w:spacing/>
      <w:ind/>
    </w:pPr>
    <w:rPr>
      <w:rFonts w:ascii="Arial" w:hAnsi="Arial" w:eastAsia="Arial" w:cs="Arial"/>
      <w:i/>
      <w:iCs/>
      <w:color w:val="272727" w:themeColor="text1" w:themeTint="D8"/>
    </w:rPr>
  </w:style>
  <w:style w:type="paragraph" w:styleId="904">
    <w:name w:val="Title"/>
    <w:basedOn w:val="948"/>
    <w:next w:val="948"/>
    <w:link w:val="905"/>
    <w:uiPriority w:val="10"/>
    <w:qFormat/>
    <w:pPr>
      <w:pBdr/>
      <w:spacing w:after="80" w:line="240" w:lineRule="auto"/>
      <w:ind/>
      <w:contextualSpacing w:val="true"/>
    </w:pPr>
    <w:rPr>
      <w:rFonts w:ascii="Arial" w:hAnsi="Arial" w:eastAsia="Arial" w:cs="Arial"/>
      <w:spacing w:val="-10"/>
      <w:sz w:val="56"/>
      <w:szCs w:val="56"/>
    </w:rPr>
  </w:style>
  <w:style w:type="character" w:styleId="905">
    <w:name w:val="Title Char"/>
    <w:basedOn w:val="945"/>
    <w:link w:val="904"/>
    <w:uiPriority w:val="10"/>
    <w:pPr>
      <w:pBdr/>
      <w:spacing/>
      <w:ind/>
    </w:pPr>
    <w:rPr>
      <w:rFonts w:ascii="Arial" w:hAnsi="Arial" w:eastAsia="Arial" w:cs="Arial"/>
      <w:spacing w:val="-10"/>
      <w:sz w:val="56"/>
      <w:szCs w:val="56"/>
    </w:rPr>
  </w:style>
  <w:style w:type="paragraph" w:styleId="906">
    <w:name w:val="Subtitle"/>
    <w:basedOn w:val="948"/>
    <w:next w:val="948"/>
    <w:link w:val="907"/>
    <w:uiPriority w:val="11"/>
    <w:qFormat/>
    <w:pPr>
      <w:numPr>
        <w:ilvl w:val="1"/>
      </w:numPr>
      <w:pBdr/>
      <w:spacing/>
      <w:ind/>
    </w:pPr>
    <w:rPr>
      <w:color w:val="595959" w:themeColor="text1" w:themeTint="A6"/>
      <w:spacing w:val="15"/>
      <w:sz w:val="28"/>
      <w:szCs w:val="28"/>
    </w:rPr>
  </w:style>
  <w:style w:type="character" w:styleId="907">
    <w:name w:val="Subtitle Char"/>
    <w:basedOn w:val="945"/>
    <w:link w:val="906"/>
    <w:uiPriority w:val="11"/>
    <w:pPr>
      <w:pBdr/>
      <w:spacing/>
      <w:ind/>
    </w:pPr>
    <w:rPr>
      <w:color w:val="595959" w:themeColor="text1" w:themeTint="A6"/>
      <w:spacing w:val="15"/>
      <w:sz w:val="28"/>
      <w:szCs w:val="28"/>
    </w:rPr>
  </w:style>
  <w:style w:type="paragraph" w:styleId="908">
    <w:name w:val="Quote"/>
    <w:basedOn w:val="948"/>
    <w:next w:val="948"/>
    <w:link w:val="909"/>
    <w:uiPriority w:val="29"/>
    <w:qFormat/>
    <w:pPr>
      <w:pBdr/>
      <w:spacing w:before="160"/>
      <w:ind/>
      <w:jc w:val="center"/>
    </w:pPr>
    <w:rPr>
      <w:i/>
      <w:iCs/>
      <w:color w:val="404040" w:themeColor="text1" w:themeTint="BF"/>
    </w:rPr>
  </w:style>
  <w:style w:type="character" w:styleId="909">
    <w:name w:val="Quote Char"/>
    <w:basedOn w:val="945"/>
    <w:link w:val="908"/>
    <w:uiPriority w:val="29"/>
    <w:pPr>
      <w:pBdr/>
      <w:spacing/>
      <w:ind/>
    </w:pPr>
    <w:rPr>
      <w:i/>
      <w:iCs/>
      <w:color w:val="404040" w:themeColor="text1" w:themeTint="BF"/>
    </w:rPr>
  </w:style>
  <w:style w:type="character" w:styleId="910">
    <w:name w:val="Intense Emphasis"/>
    <w:basedOn w:val="945"/>
    <w:uiPriority w:val="21"/>
    <w:qFormat/>
    <w:pPr>
      <w:pBdr/>
      <w:spacing/>
      <w:ind/>
    </w:pPr>
    <w:rPr>
      <w:i/>
      <w:iCs/>
      <w:color w:val="0f4761" w:themeColor="accent1" w:themeShade="BF"/>
    </w:rPr>
  </w:style>
  <w:style w:type="paragraph" w:styleId="911">
    <w:name w:val="Intense Quote"/>
    <w:basedOn w:val="948"/>
    <w:next w:val="948"/>
    <w:link w:val="91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12">
    <w:name w:val="Intense Quote Char"/>
    <w:basedOn w:val="945"/>
    <w:link w:val="911"/>
    <w:uiPriority w:val="30"/>
    <w:pPr>
      <w:pBdr/>
      <w:spacing/>
      <w:ind/>
    </w:pPr>
    <w:rPr>
      <w:i/>
      <w:iCs/>
      <w:color w:val="0f4761" w:themeColor="accent1" w:themeShade="BF"/>
    </w:rPr>
  </w:style>
  <w:style w:type="character" w:styleId="913">
    <w:name w:val="Intense Reference"/>
    <w:basedOn w:val="945"/>
    <w:uiPriority w:val="32"/>
    <w:qFormat/>
    <w:pPr>
      <w:pBdr/>
      <w:spacing/>
      <w:ind/>
    </w:pPr>
    <w:rPr>
      <w:b/>
      <w:bCs/>
      <w:smallCaps/>
      <w:color w:val="0f4761" w:themeColor="accent1" w:themeShade="BF"/>
      <w:spacing w:val="5"/>
    </w:rPr>
  </w:style>
  <w:style w:type="paragraph" w:styleId="914">
    <w:name w:val="No Spacing"/>
    <w:basedOn w:val="948"/>
    <w:uiPriority w:val="1"/>
    <w:qFormat/>
    <w:pPr>
      <w:pBdr/>
      <w:spacing w:after="0" w:line="240" w:lineRule="auto"/>
      <w:ind/>
    </w:pPr>
  </w:style>
  <w:style w:type="character" w:styleId="915">
    <w:name w:val="Subtle Emphasis"/>
    <w:basedOn w:val="945"/>
    <w:uiPriority w:val="19"/>
    <w:qFormat/>
    <w:pPr>
      <w:pBdr/>
      <w:spacing/>
      <w:ind/>
    </w:pPr>
    <w:rPr>
      <w:i/>
      <w:iCs/>
      <w:color w:val="404040" w:themeColor="text1" w:themeTint="BF"/>
    </w:rPr>
  </w:style>
  <w:style w:type="character" w:styleId="916">
    <w:name w:val="Emphasis"/>
    <w:basedOn w:val="945"/>
    <w:uiPriority w:val="20"/>
    <w:qFormat/>
    <w:pPr>
      <w:pBdr/>
      <w:spacing/>
      <w:ind/>
    </w:pPr>
    <w:rPr>
      <w:i/>
      <w:iCs/>
    </w:rPr>
  </w:style>
  <w:style w:type="character" w:styleId="917">
    <w:name w:val="Strong"/>
    <w:basedOn w:val="945"/>
    <w:uiPriority w:val="22"/>
    <w:qFormat/>
    <w:pPr>
      <w:pBdr/>
      <w:spacing/>
      <w:ind/>
    </w:pPr>
    <w:rPr>
      <w:b/>
      <w:bCs/>
    </w:rPr>
  </w:style>
  <w:style w:type="character" w:styleId="918">
    <w:name w:val="Subtle Reference"/>
    <w:basedOn w:val="945"/>
    <w:uiPriority w:val="31"/>
    <w:qFormat/>
    <w:pPr>
      <w:pBdr/>
      <w:spacing/>
      <w:ind/>
    </w:pPr>
    <w:rPr>
      <w:smallCaps/>
      <w:color w:val="5a5a5a" w:themeColor="text1" w:themeTint="A5"/>
    </w:rPr>
  </w:style>
  <w:style w:type="character" w:styleId="919">
    <w:name w:val="Book Title"/>
    <w:basedOn w:val="945"/>
    <w:uiPriority w:val="33"/>
    <w:qFormat/>
    <w:pPr>
      <w:pBdr/>
      <w:spacing/>
      <w:ind/>
    </w:pPr>
    <w:rPr>
      <w:b/>
      <w:bCs/>
      <w:i/>
      <w:iCs/>
      <w:spacing w:val="5"/>
    </w:rPr>
  </w:style>
  <w:style w:type="paragraph" w:styleId="920">
    <w:name w:val="Header"/>
    <w:basedOn w:val="948"/>
    <w:link w:val="921"/>
    <w:uiPriority w:val="99"/>
    <w:unhideWhenUsed/>
    <w:pPr>
      <w:pBdr/>
      <w:tabs>
        <w:tab w:val="center" w:leader="none" w:pos="4844"/>
        <w:tab w:val="right" w:leader="none" w:pos="9689"/>
      </w:tabs>
      <w:spacing w:after="0" w:line="240" w:lineRule="auto"/>
      <w:ind/>
    </w:pPr>
  </w:style>
  <w:style w:type="character" w:styleId="921">
    <w:name w:val="Header Char"/>
    <w:basedOn w:val="945"/>
    <w:link w:val="920"/>
    <w:uiPriority w:val="99"/>
    <w:pPr>
      <w:pBdr/>
      <w:spacing/>
      <w:ind/>
    </w:pPr>
  </w:style>
  <w:style w:type="paragraph" w:styleId="922">
    <w:name w:val="Footer"/>
    <w:basedOn w:val="948"/>
    <w:link w:val="923"/>
    <w:uiPriority w:val="99"/>
    <w:unhideWhenUsed/>
    <w:pPr>
      <w:pBdr/>
      <w:tabs>
        <w:tab w:val="center" w:leader="none" w:pos="4844"/>
        <w:tab w:val="right" w:leader="none" w:pos="9689"/>
      </w:tabs>
      <w:spacing w:after="0" w:line="240" w:lineRule="auto"/>
      <w:ind/>
    </w:pPr>
  </w:style>
  <w:style w:type="character" w:styleId="923">
    <w:name w:val="Footer Char"/>
    <w:basedOn w:val="945"/>
    <w:link w:val="922"/>
    <w:uiPriority w:val="99"/>
    <w:pPr>
      <w:pBdr/>
      <w:spacing/>
      <w:ind/>
    </w:pPr>
  </w:style>
  <w:style w:type="paragraph" w:styleId="924">
    <w:name w:val="Caption"/>
    <w:basedOn w:val="948"/>
    <w:next w:val="948"/>
    <w:uiPriority w:val="35"/>
    <w:unhideWhenUsed/>
    <w:qFormat/>
    <w:pPr>
      <w:pBdr/>
      <w:spacing w:after="200" w:line="240" w:lineRule="auto"/>
      <w:ind/>
    </w:pPr>
    <w:rPr>
      <w:i/>
      <w:iCs/>
      <w:color w:val="0e2841" w:themeColor="text2"/>
      <w:sz w:val="18"/>
      <w:szCs w:val="18"/>
    </w:rPr>
  </w:style>
  <w:style w:type="paragraph" w:styleId="925">
    <w:name w:val="footnote text"/>
    <w:basedOn w:val="948"/>
    <w:link w:val="926"/>
    <w:uiPriority w:val="99"/>
    <w:semiHidden/>
    <w:unhideWhenUsed/>
    <w:pPr>
      <w:pBdr/>
      <w:spacing w:after="0" w:line="240" w:lineRule="auto"/>
      <w:ind/>
    </w:pPr>
    <w:rPr>
      <w:sz w:val="20"/>
      <w:szCs w:val="20"/>
    </w:rPr>
  </w:style>
  <w:style w:type="character" w:styleId="926">
    <w:name w:val="Footnote Text Char"/>
    <w:basedOn w:val="945"/>
    <w:link w:val="925"/>
    <w:uiPriority w:val="99"/>
    <w:semiHidden/>
    <w:pPr>
      <w:pBdr/>
      <w:spacing/>
      <w:ind/>
    </w:pPr>
    <w:rPr>
      <w:sz w:val="20"/>
      <w:szCs w:val="20"/>
    </w:rPr>
  </w:style>
  <w:style w:type="character" w:styleId="927">
    <w:name w:val="footnote reference"/>
    <w:basedOn w:val="945"/>
    <w:uiPriority w:val="99"/>
    <w:semiHidden/>
    <w:unhideWhenUsed/>
    <w:pPr>
      <w:pBdr/>
      <w:spacing/>
      <w:ind/>
    </w:pPr>
    <w:rPr>
      <w:vertAlign w:val="superscript"/>
    </w:rPr>
  </w:style>
  <w:style w:type="paragraph" w:styleId="928">
    <w:name w:val="endnote text"/>
    <w:basedOn w:val="948"/>
    <w:link w:val="929"/>
    <w:uiPriority w:val="99"/>
    <w:semiHidden/>
    <w:unhideWhenUsed/>
    <w:pPr>
      <w:pBdr/>
      <w:spacing w:after="0" w:line="240" w:lineRule="auto"/>
      <w:ind/>
    </w:pPr>
    <w:rPr>
      <w:sz w:val="20"/>
      <w:szCs w:val="20"/>
    </w:rPr>
  </w:style>
  <w:style w:type="character" w:styleId="929">
    <w:name w:val="Endnote Text Char"/>
    <w:basedOn w:val="945"/>
    <w:link w:val="928"/>
    <w:uiPriority w:val="99"/>
    <w:semiHidden/>
    <w:pPr>
      <w:pBdr/>
      <w:spacing/>
      <w:ind/>
    </w:pPr>
    <w:rPr>
      <w:sz w:val="20"/>
      <w:szCs w:val="20"/>
    </w:rPr>
  </w:style>
  <w:style w:type="character" w:styleId="930">
    <w:name w:val="endnote reference"/>
    <w:basedOn w:val="945"/>
    <w:uiPriority w:val="99"/>
    <w:semiHidden/>
    <w:unhideWhenUsed/>
    <w:pPr>
      <w:pBdr/>
      <w:spacing/>
      <w:ind/>
    </w:pPr>
    <w:rPr>
      <w:vertAlign w:val="superscript"/>
    </w:rPr>
  </w:style>
  <w:style w:type="character" w:styleId="931">
    <w:name w:val="Hyperlink"/>
    <w:basedOn w:val="945"/>
    <w:uiPriority w:val="99"/>
    <w:unhideWhenUsed/>
    <w:pPr>
      <w:pBdr/>
      <w:spacing/>
      <w:ind/>
    </w:pPr>
    <w:rPr>
      <w:color w:val="0563c1" w:themeColor="hyperlink"/>
      <w:u w:val="single"/>
    </w:rPr>
  </w:style>
  <w:style w:type="character" w:styleId="932">
    <w:name w:val="FollowedHyperlink"/>
    <w:basedOn w:val="945"/>
    <w:uiPriority w:val="99"/>
    <w:semiHidden/>
    <w:unhideWhenUsed/>
    <w:pPr>
      <w:pBdr/>
      <w:spacing/>
      <w:ind/>
    </w:pPr>
    <w:rPr>
      <w:color w:val="954f72" w:themeColor="followedHyperlink"/>
      <w:u w:val="single"/>
    </w:rPr>
  </w:style>
  <w:style w:type="paragraph" w:styleId="933">
    <w:name w:val="toc 1"/>
    <w:basedOn w:val="948"/>
    <w:next w:val="948"/>
    <w:uiPriority w:val="39"/>
    <w:unhideWhenUsed/>
    <w:pPr>
      <w:pBdr/>
      <w:spacing w:after="100"/>
      <w:ind/>
    </w:pPr>
  </w:style>
  <w:style w:type="paragraph" w:styleId="934">
    <w:name w:val="toc 2"/>
    <w:basedOn w:val="948"/>
    <w:next w:val="948"/>
    <w:uiPriority w:val="39"/>
    <w:unhideWhenUsed/>
    <w:pPr>
      <w:pBdr/>
      <w:spacing w:after="100"/>
      <w:ind w:left="220"/>
    </w:pPr>
  </w:style>
  <w:style w:type="paragraph" w:styleId="935">
    <w:name w:val="toc 3"/>
    <w:basedOn w:val="948"/>
    <w:next w:val="948"/>
    <w:uiPriority w:val="39"/>
    <w:unhideWhenUsed/>
    <w:pPr>
      <w:pBdr/>
      <w:spacing w:after="100"/>
      <w:ind w:left="440"/>
    </w:pPr>
  </w:style>
  <w:style w:type="paragraph" w:styleId="936">
    <w:name w:val="toc 4"/>
    <w:basedOn w:val="948"/>
    <w:next w:val="948"/>
    <w:uiPriority w:val="39"/>
    <w:unhideWhenUsed/>
    <w:pPr>
      <w:pBdr/>
      <w:spacing w:after="100"/>
      <w:ind w:left="660"/>
    </w:pPr>
  </w:style>
  <w:style w:type="paragraph" w:styleId="937">
    <w:name w:val="toc 5"/>
    <w:basedOn w:val="948"/>
    <w:next w:val="948"/>
    <w:uiPriority w:val="39"/>
    <w:unhideWhenUsed/>
    <w:pPr>
      <w:pBdr/>
      <w:spacing w:after="100"/>
      <w:ind w:left="880"/>
    </w:pPr>
  </w:style>
  <w:style w:type="paragraph" w:styleId="938">
    <w:name w:val="toc 6"/>
    <w:basedOn w:val="948"/>
    <w:next w:val="948"/>
    <w:uiPriority w:val="39"/>
    <w:unhideWhenUsed/>
    <w:pPr>
      <w:pBdr/>
      <w:spacing w:after="100"/>
      <w:ind w:left="1100"/>
    </w:pPr>
  </w:style>
  <w:style w:type="paragraph" w:styleId="939">
    <w:name w:val="toc 7"/>
    <w:basedOn w:val="948"/>
    <w:next w:val="948"/>
    <w:uiPriority w:val="39"/>
    <w:unhideWhenUsed/>
    <w:pPr>
      <w:pBdr/>
      <w:spacing w:after="100"/>
      <w:ind w:left="1320"/>
    </w:pPr>
  </w:style>
  <w:style w:type="paragraph" w:styleId="940">
    <w:name w:val="toc 8"/>
    <w:basedOn w:val="948"/>
    <w:next w:val="948"/>
    <w:uiPriority w:val="39"/>
    <w:unhideWhenUsed/>
    <w:pPr>
      <w:pBdr/>
      <w:spacing w:after="100"/>
      <w:ind w:left="1540"/>
    </w:pPr>
  </w:style>
  <w:style w:type="paragraph" w:styleId="941">
    <w:name w:val="toc 9"/>
    <w:basedOn w:val="948"/>
    <w:next w:val="948"/>
    <w:uiPriority w:val="39"/>
    <w:unhideWhenUsed/>
    <w:pPr>
      <w:pBdr/>
      <w:spacing w:after="100"/>
      <w:ind w:left="1760"/>
    </w:pPr>
  </w:style>
  <w:style w:type="character" w:styleId="942">
    <w:name w:val="Placeholder Text"/>
    <w:basedOn w:val="945"/>
    <w:uiPriority w:val="99"/>
    <w:semiHidden/>
    <w:pPr>
      <w:pBdr/>
      <w:spacing/>
      <w:ind/>
    </w:pPr>
    <w:rPr>
      <w:color w:val="666666"/>
    </w:rPr>
  </w:style>
  <w:style w:type="paragraph" w:styleId="943">
    <w:name w:val="TOC Heading"/>
    <w:uiPriority w:val="39"/>
    <w:unhideWhenUsed/>
    <w:pPr>
      <w:pBdr/>
      <w:spacing/>
      <w:ind/>
    </w:pPr>
  </w:style>
  <w:style w:type="paragraph" w:styleId="944">
    <w:name w:val="table of figures"/>
    <w:basedOn w:val="948"/>
    <w:next w:val="948"/>
    <w:uiPriority w:val="99"/>
    <w:unhideWhenUsed/>
    <w:pPr>
      <w:pBdr/>
      <w:spacing w:after="0" w:afterAutospacing="0"/>
      <w:ind/>
    </w:pPr>
  </w:style>
  <w:style w:type="character" w:styleId="945" w:default="1">
    <w:name w:val="Default Paragraph Font"/>
    <w:uiPriority w:val="1"/>
    <w:semiHidden/>
    <w:unhideWhenUsed/>
    <w:pPr>
      <w:pBdr/>
      <w:spacing/>
      <w:ind/>
    </w:pPr>
  </w:style>
  <w:style w:type="table" w:styleId="946">
    <w:name w:val="Table Normal"/>
    <w:uiPriority w:val="2"/>
    <w:semiHidden/>
    <w:unhideWhenUsed/>
    <w:qFormat/>
    <w:pPr>
      <w:pBdr/>
      <w:spacing/>
      <w:ind/>
    </w:pPr>
    <w:tblPr>
      <w:tblInd w:w="0" w:type="dxa"/>
      <w:tblCellMar>
        <w:left w:w="0" w:type="dxa"/>
        <w:top w:w="0" w:type="dxa"/>
        <w:right w:w="0"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47" w:default="1">
    <w:name w:val="No List"/>
    <w:uiPriority w:val="99"/>
    <w:semiHidden/>
    <w:unhideWhenUsed/>
    <w:pPr>
      <w:pBdr/>
      <w:spacing/>
      <w:ind/>
    </w:pPr>
  </w:style>
  <w:style w:type="paragraph" w:styleId="948" w:default="1">
    <w:name w:val="Normal"/>
    <w:uiPriority w:val="1"/>
    <w:qFormat/>
    <w:pPr>
      <w:pBdr/>
      <w:spacing/>
      <w:ind/>
    </w:pPr>
    <w:rPr>
      <w:rFonts w:ascii="Verdana" w:hAnsi="Verdana" w:eastAsia="Verdana" w:cs="Verdana"/>
      <w:lang w:val="fr-FR" w:eastAsia="en-US" w:bidi="ar-SA"/>
    </w:rPr>
  </w:style>
  <w:style w:type="paragraph" w:styleId="949">
    <w:name w:val="Body Text"/>
    <w:basedOn w:val="948"/>
    <w:uiPriority w:val="1"/>
    <w:qFormat/>
    <w:pPr>
      <w:pBdr/>
      <w:spacing/>
      <w:ind/>
    </w:pPr>
    <w:rPr>
      <w:rFonts w:ascii="Verdana" w:hAnsi="Verdana" w:eastAsia="Verdana" w:cs="Verdana"/>
      <w:sz w:val="18"/>
      <w:szCs w:val="18"/>
      <w:lang w:val="fr-FR" w:eastAsia="en-US" w:bidi="ar-SA"/>
    </w:rPr>
  </w:style>
  <w:style w:type="paragraph" w:styleId="950">
    <w:name w:val="Heading 1"/>
    <w:basedOn w:val="948"/>
    <w:uiPriority w:val="1"/>
    <w:qFormat/>
    <w:pPr>
      <w:pBdr/>
      <w:spacing w:before="164"/>
      <w:ind w:left="143"/>
      <w:outlineLvl w:val="1"/>
    </w:pPr>
    <w:rPr>
      <w:rFonts w:ascii="Arial" w:hAnsi="Arial" w:eastAsia="Arial" w:cs="Arial"/>
      <w:b/>
      <w:bCs/>
      <w:sz w:val="44"/>
      <w:szCs w:val="44"/>
      <w:lang w:val="fr-FR" w:eastAsia="en-US" w:bidi="ar-SA"/>
    </w:rPr>
  </w:style>
  <w:style w:type="paragraph" w:styleId="951">
    <w:name w:val="Heading 2"/>
    <w:basedOn w:val="948"/>
    <w:uiPriority w:val="1"/>
    <w:qFormat/>
    <w:pPr>
      <w:pBdr/>
      <w:spacing w:before="115"/>
      <w:ind w:left="571"/>
      <w:jc w:val="both"/>
      <w:outlineLvl w:val="2"/>
    </w:pPr>
    <w:rPr>
      <w:rFonts w:ascii="Verdana" w:hAnsi="Verdana" w:eastAsia="Verdana" w:cs="Verdana"/>
      <w:sz w:val="20"/>
      <w:szCs w:val="20"/>
      <w:lang w:val="fr-FR" w:eastAsia="en-US" w:bidi="ar-SA"/>
    </w:rPr>
  </w:style>
  <w:style w:type="paragraph" w:styleId="952">
    <w:name w:val="List Paragraph"/>
    <w:basedOn w:val="948"/>
    <w:uiPriority w:val="1"/>
    <w:qFormat/>
    <w:pPr>
      <w:pBdr/>
      <w:spacing/>
      <w:ind w:hanging="359" w:left="562"/>
    </w:pPr>
    <w:rPr>
      <w:rFonts w:ascii="Verdana" w:hAnsi="Verdana" w:eastAsia="Verdana" w:cs="Verdana"/>
      <w:lang w:val="fr-FR" w:eastAsia="en-US" w:bidi="ar-SA"/>
    </w:rPr>
  </w:style>
  <w:style w:type="paragraph" w:styleId="953">
    <w:name w:val="Table Paragraph"/>
    <w:basedOn w:val="948"/>
    <w:uiPriority w:val="1"/>
    <w:qFormat/>
    <w:pPr>
      <w:pBdr/>
      <w:spacing/>
      <w:ind/>
    </w:pPr>
    <w:rPr>
      <w:lang w:val="fr-FR" w:eastAsia="en-US" w:bidi="ar-SA"/>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Application>onlyoffice/9.2.1.8</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2 - Bilan AAP Mednum 2025</dc:title>
  <dc:subject>Bilan du projet Pour un numérique citoyen et de proximité dans le Chemillois</dc:subject>
  <cp:lastModifiedBy>Kevin Moriniere</cp:lastModifiedBy>
  <cp:revision>3</cp:revision>
  <dcterms:created xsi:type="dcterms:W3CDTF">2026-07-30T09:17:43Z</dcterms:created>
  <dcterms:modified xsi:type="dcterms:W3CDTF">2026-08-24T14:29:31Z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2026-07-30T00:00:00Z</vt:filetime>
  </property>
  <property fmtid="{D5CDD505-2E9C-101B-9397-08002B2CF9AE}" pid="4" name="LastSaved">
    <vt:filetime>2026-07-30T00:00:00Z</vt:filetime>
  </property>
  <property fmtid="{D5CDD505-2E9C-101B-9397-08002B2CF9AE}" pid="5" name="Producer">
    <vt:lpwstr>iLovePDF</vt:lpwstr>
  </property>
</Properties>
</file>