
<file path=[Content_Types].xml><?xml version="1.0" encoding="utf-8"?>
<Types xmlns="http://schemas.openxmlformats.org/package/2006/content-types">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webSettings.xml" ContentType="application/vnd.openxmlformats-officedocument.wordprocessingml.webSettings+xml"/>
  <Override PartName="/word/footnotes.xml" ContentType="application/vnd.openxmlformats-officedocument.wordprocessingml.footnote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Override PartName="/word/settings.xml" ContentType="application/vnd.openxmlformats-officedocument.wordprocessingml.settings+xml"/>
  <Override PartName="/docProps/app.xml" ContentType="application/vnd.openxmlformats-officedocument.extended-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3A8C3CA4">
      <w:pPr>
        <w:pStyle w:val="851"/>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48"/>
        </w:rPr>
        <w:t xml:space="preserve">Bilan final du projet</w:t>
      </w:r>
      <w:r/>
    </w:p>
    <w:p w14:paraId="5CA4DEB6">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 Pour un numérique citoyen et de proximité dans le  Chemillois »</w:t>
      </w:r>
      <w:r/>
    </w:p>
    <w:p w14:paraId="2C1EBE9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Période de réalisation : septembre 2025 à août 2026</w:t>
        <w:br/>
        <w:t xml:space="preserve">Structure porteuse : Centre Social du Chemillois – Le Boc@l</w:t>
      </w:r>
      <w:r/>
    </w:p>
    <w:p w14:paraId="2B77D3B7">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1. Présentation générale du projet</w:t>
      </w:r>
      <w:r/>
    </w:p>
    <w:p w14:paraId="764CD7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projet « Pour un numérique citoyen et de proximité dans le Chemillois » avait pour objectif de favoriser l’accès à un numérique plus libre, plus responsable et plus accessible aux habitants du territoire.</w:t>
      </w:r>
      <w:r/>
    </w:p>
    <w:p w14:paraId="3D6577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Il s’organisait autour de trois axes complémentaires :</w:t>
      </w:r>
      <w:r/>
    </w:p>
    <w:p w14:paraId="67516958">
      <w:pPr>
        <w:pStyle w:val="914"/>
        <w:numPr>
          <w:ilvl w:val="0"/>
          <w:numId w:val="1"/>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 l’organisation de l’événement </w:t>
      </w:r>
      <w:r>
        <w:rPr>
          <w:rFonts w:ascii="Times New Roman" w:hAnsi="Times New Roman" w:eastAsia="Times New Roman" w:cs="Times New Roman"/>
          <w:b/>
          <w:color w:val="000000"/>
          <w:sz w:val="24"/>
        </w:rPr>
        <w:t xml:space="preserve">Libre en fête</w:t>
      </w:r>
      <w:r>
        <w:rPr>
          <w:rFonts w:ascii="Times New Roman" w:hAnsi="Times New Roman" w:eastAsia="Times New Roman" w:cs="Times New Roman"/>
          <w:color w:val="000000"/>
          <w:sz w:val="24"/>
        </w:rPr>
        <w:t xml:space="preserve"> ; </w:t>
      </w:r>
      <w:r/>
    </w:p>
    <w:p w14:paraId="37A89D99">
      <w:pPr>
        <w:pStyle w:val="914"/>
        <w:numPr>
          <w:ilvl w:val="0"/>
          <w:numId w:val="1"/>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 le développement des </w:t>
      </w:r>
      <w:r>
        <w:rPr>
          <w:rFonts w:ascii="Times New Roman" w:hAnsi="Times New Roman" w:eastAsia="Times New Roman" w:cs="Times New Roman"/>
          <w:b/>
          <w:color w:val="000000"/>
          <w:sz w:val="24"/>
        </w:rPr>
        <w:t xml:space="preserve">permanences du GULL</w:t>
      </w:r>
      <w:r>
        <w:rPr>
          <w:rFonts w:ascii="Times New Roman" w:hAnsi="Times New Roman" w:eastAsia="Times New Roman" w:cs="Times New Roman"/>
          <w:color w:val="000000"/>
          <w:sz w:val="24"/>
        </w:rPr>
        <w:t xml:space="preserve">, Groupe d’Utilisateurs de Logiciels Libres ; </w:t>
      </w:r>
      <w:r/>
    </w:p>
    <w:p w14:paraId="188DD266">
      <w:pPr>
        <w:pStyle w:val="914"/>
        <w:numPr>
          <w:ilvl w:val="0"/>
          <w:numId w:val="1"/>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 l’expérimentation d’un service d’</w:t>
      </w:r>
      <w:r>
        <w:rPr>
          <w:rFonts w:ascii="Times New Roman" w:hAnsi="Times New Roman" w:eastAsia="Times New Roman" w:cs="Times New Roman"/>
          <w:b/>
          <w:color w:val="000000"/>
          <w:sz w:val="24"/>
        </w:rPr>
        <w:t xml:space="preserve">interventions bénévoles à domicile</w:t>
      </w:r>
      <w:r>
        <w:rPr>
          <w:rFonts w:ascii="Times New Roman" w:hAnsi="Times New Roman" w:eastAsia="Times New Roman" w:cs="Times New Roman"/>
          <w:color w:val="000000"/>
          <w:sz w:val="24"/>
        </w:rPr>
        <w:t xml:space="preserve">, accompagné par l’achat de matériel de transport. </w:t>
      </w:r>
      <w:r/>
    </w:p>
    <w:p w14:paraId="7E45A3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projet initial visait notamment la réalisation de 20 permanences, l’accompagnement de 15 foyers à domicile à travers 20 interventions, ainsi que l’accueil de 50 personnes lors de Libre en fête. </w:t>
      </w:r>
      <w:r/>
    </w:p>
    <w:p w14:paraId="45D1394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Dans l’ensemble, le projet a permis de renforcer une dynamique locale autour des logiciels libres et de mobiliser un groupe d’une dizaine de bénévoles. Les trois axes ont été engagés, même si leur niveau d’avancement diffère selon les actions.</w:t>
      </w:r>
      <w:r/>
    </w:p>
    <w:p w14:paraId="40FCA7F6">
      <w:pPr>
        <w:pStyle w:val="851"/>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48"/>
        </w:rPr>
        <w:t xml:space="preserve">2. Synthèse chiffrée</w:t>
      </w:r>
      <w:r/>
    </w:p>
    <w:tbl>
      <w:tblPr>
        <w:tblStyle w:val="725"/>
        <w:tblInd w:w="0" w:type="dxa"/>
        <w:tblW w:w="0" w:type="auto"/>
        <w:tblBorders>
          <w:top w:val="none" w:color="000000" w:sz="4" w:space="0"/>
          <w:left w:val="none" w:color="000000" w:sz="4" w:space="0"/>
          <w:bottom w:val="none" w:color="000000" w:sz="4" w:space="0"/>
          <w:right w:val="none" w:color="000000" w:sz="4" w:space="0"/>
          <w:insideH w:val="none" w:color="000000" w:sz="4" w:space="0"/>
          <w:insideV w:val="none" w:color="000000" w:sz="4" w:space="0"/>
        </w:tblBorders>
        <w:tblLayout w:type="autofit"/>
        <w:tblLook w:val="04A0" w:firstRow="1" w:lastRow="0" w:firstColumn="1" w:lastColumn="0" w:noHBand="0" w:noVBand="1"/>
      </w:tblPr>
      <w:tblGrid>
        <w:gridCol w:w="4339"/>
        <w:gridCol w:w="2866"/>
      </w:tblGrid>
      <w:tr>
        <w:trPr/>
        <w:tc>
          <w:tcPr>
            <w:tcBorders/>
            <w:tcMar>
              <w:left w:w="15" w:type="dxa"/>
              <w:top w:w="15" w:type="dxa"/>
              <w:right w:w="15" w:type="dxa"/>
              <w:bottom w:w="15" w:type="dxa"/>
            </w:tcMar>
            <w:tcW w:w="4339" w:type="dxa"/>
            <w:vAlign w:val="center"/>
            <w:textDirection w:val="lrTb"/>
            <w:noWrap w:val="false"/>
          </w:tcPr>
          <w:p w14:paraId="004C94D7">
            <w:pPr>
              <w:pBdr/>
              <w:spacing w:after="0" w:before="0" w:line="240" w:lineRule="auto"/>
              <w:ind/>
              <w:jc w:val="center"/>
              <w:rPr/>
            </w:pPr>
            <w:r>
              <w:rPr>
                <w:rFonts w:ascii="Times New Roman" w:hAnsi="Times New Roman" w:eastAsia="Times New Roman" w:cs="Times New Roman"/>
                <w:b/>
                <w:color w:val="000000"/>
                <w:sz w:val="24"/>
              </w:rPr>
              <w:t xml:space="preserve">Axe du projet</w:t>
            </w:r>
            <w:r/>
          </w:p>
        </w:tc>
        <w:tc>
          <w:tcPr>
            <w:tcBorders/>
            <w:tcMar>
              <w:left w:w="15" w:type="dxa"/>
              <w:top w:w="15" w:type="dxa"/>
              <w:right w:w="15" w:type="dxa"/>
              <w:bottom w:w="15" w:type="dxa"/>
            </w:tcMar>
            <w:tcW w:w="2866" w:type="dxa"/>
            <w:vAlign w:val="center"/>
            <w:textDirection w:val="lrTb"/>
            <w:noWrap w:val="false"/>
          </w:tcPr>
          <w:p w14:paraId="06100F36">
            <w:pPr>
              <w:pBdr/>
              <w:spacing w:after="0" w:before="0" w:line="240" w:lineRule="auto"/>
              <w:ind/>
              <w:jc w:val="center"/>
              <w:rPr/>
            </w:pPr>
            <w:r>
              <w:rPr>
                <w:rFonts w:ascii="Times New Roman" w:hAnsi="Times New Roman" w:eastAsia="Times New Roman" w:cs="Times New Roman"/>
                <w:b/>
                <w:color w:val="000000"/>
                <w:sz w:val="24"/>
              </w:rPr>
              <w:t xml:space="preserve">Principaux résultats</w:t>
            </w:r>
            <w:r/>
          </w:p>
        </w:tc>
      </w:tr>
      <w:tr>
        <w:trPr/>
        <w:tc>
          <w:tcPr>
            <w:tcBorders/>
            <w:tcMar>
              <w:left w:w="15" w:type="dxa"/>
              <w:top w:w="15" w:type="dxa"/>
              <w:right w:w="15" w:type="dxa"/>
              <w:bottom w:w="15" w:type="dxa"/>
            </w:tcMar>
            <w:tcW w:w="4339" w:type="dxa"/>
            <w:vAlign w:val="center"/>
            <w:textDirection w:val="lrTb"/>
            <w:noWrap w:val="false"/>
          </w:tcPr>
          <w:p w14:paraId="17868D9F">
            <w:pPr>
              <w:pBdr/>
              <w:spacing w:after="0" w:before="0" w:line="240" w:lineRule="auto"/>
              <w:ind/>
              <w:rPr/>
            </w:pPr>
            <w:r>
              <w:rPr>
                <w:rFonts w:ascii="Times New Roman" w:hAnsi="Times New Roman" w:eastAsia="Times New Roman" w:cs="Times New Roman"/>
                <w:color w:val="000000"/>
                <w:sz w:val="24"/>
              </w:rPr>
              <w:t xml:space="preserve">Libre en fête</w:t>
            </w:r>
            <w:r/>
          </w:p>
        </w:tc>
        <w:tc>
          <w:tcPr>
            <w:tcBorders/>
            <w:tcMar>
              <w:left w:w="15" w:type="dxa"/>
              <w:top w:w="15" w:type="dxa"/>
              <w:right w:w="15" w:type="dxa"/>
              <w:bottom w:w="15" w:type="dxa"/>
            </w:tcMar>
            <w:tcW w:w="2866" w:type="dxa"/>
            <w:vAlign w:val="center"/>
            <w:textDirection w:val="lrTb"/>
            <w:noWrap w:val="false"/>
          </w:tcPr>
          <w:p w14:paraId="1D05B6D1">
            <w:pPr>
              <w:pBdr/>
              <w:spacing w:after="0" w:before="0" w:line="240" w:lineRule="auto"/>
              <w:ind/>
              <w:rPr/>
            </w:pPr>
            <w:r>
              <w:rPr>
                <w:rFonts w:ascii="Times New Roman" w:hAnsi="Times New Roman" w:eastAsia="Times New Roman" w:cs="Times New Roman"/>
                <w:color w:val="000000"/>
                <w:sz w:val="24"/>
              </w:rPr>
              <w:t xml:space="preserve">55 participants différents</w:t>
            </w:r>
            <w:r/>
          </w:p>
        </w:tc>
      </w:tr>
      <w:tr>
        <w:trPr/>
        <w:tc>
          <w:tcPr>
            <w:tcBorders/>
            <w:tcMar>
              <w:left w:w="15" w:type="dxa"/>
              <w:top w:w="15" w:type="dxa"/>
              <w:right w:w="15" w:type="dxa"/>
              <w:bottom w:w="15" w:type="dxa"/>
            </w:tcMar>
            <w:tcW w:w="4339" w:type="dxa"/>
            <w:vAlign w:val="center"/>
            <w:textDirection w:val="lrTb"/>
            <w:noWrap w:val="false"/>
          </w:tcPr>
          <w:p w14:paraId="1D61EDC8">
            <w:pPr>
              <w:pBdr/>
              <w:spacing w:after="0" w:before="0" w:line="240" w:lineRule="auto"/>
              <w:ind/>
              <w:rPr/>
            </w:pPr>
            <w:r>
              <w:rPr>
                <w:rFonts w:ascii="Times New Roman" w:hAnsi="Times New Roman" w:eastAsia="Times New Roman" w:cs="Times New Roman"/>
                <w:color w:val="000000"/>
                <w:sz w:val="24"/>
              </w:rPr>
              <w:t xml:space="preserve">Soirée ciné-débat</w:t>
            </w:r>
            <w:r/>
          </w:p>
        </w:tc>
        <w:tc>
          <w:tcPr>
            <w:tcBorders/>
            <w:tcMar>
              <w:left w:w="15" w:type="dxa"/>
              <w:top w:w="15" w:type="dxa"/>
              <w:right w:w="15" w:type="dxa"/>
              <w:bottom w:w="15" w:type="dxa"/>
            </w:tcMar>
            <w:tcW w:w="2866" w:type="dxa"/>
            <w:vAlign w:val="center"/>
            <w:textDirection w:val="lrTb"/>
            <w:noWrap w:val="false"/>
          </w:tcPr>
          <w:p w14:paraId="7E892D4D">
            <w:pPr>
              <w:pBdr/>
              <w:spacing w:after="0" w:before="0" w:line="240" w:lineRule="auto"/>
              <w:ind/>
              <w:rPr/>
            </w:pPr>
            <w:r>
              <w:rPr>
                <w:rFonts w:ascii="Times New Roman" w:hAnsi="Times New Roman" w:eastAsia="Times New Roman" w:cs="Times New Roman"/>
                <w:color w:val="000000"/>
                <w:sz w:val="24"/>
              </w:rPr>
              <w:t xml:space="preserve">25 participants</w:t>
            </w:r>
            <w:r/>
          </w:p>
        </w:tc>
      </w:tr>
      <w:tr>
        <w:trPr/>
        <w:tc>
          <w:tcPr>
            <w:tcBorders/>
            <w:tcMar>
              <w:left w:w="15" w:type="dxa"/>
              <w:top w:w="15" w:type="dxa"/>
              <w:right w:w="15" w:type="dxa"/>
              <w:bottom w:w="15" w:type="dxa"/>
            </w:tcMar>
            <w:tcW w:w="4339" w:type="dxa"/>
            <w:vAlign w:val="center"/>
            <w:textDirection w:val="lrTb"/>
            <w:noWrap w:val="false"/>
          </w:tcPr>
          <w:p w14:paraId="57905350">
            <w:pPr>
              <w:pBdr/>
              <w:spacing w:after="0" w:before="0" w:line="240" w:lineRule="auto"/>
              <w:ind/>
              <w:rPr/>
            </w:pPr>
            <w:r>
              <w:rPr>
                <w:rFonts w:ascii="Times New Roman" w:hAnsi="Times New Roman" w:eastAsia="Times New Roman" w:cs="Times New Roman"/>
                <w:color w:val="000000"/>
                <w:sz w:val="24"/>
              </w:rPr>
              <w:t xml:space="preserve">Forum du samedi</w:t>
            </w:r>
            <w:r/>
          </w:p>
        </w:tc>
        <w:tc>
          <w:tcPr>
            <w:tcBorders/>
            <w:tcMar>
              <w:left w:w="15" w:type="dxa"/>
              <w:top w:w="15" w:type="dxa"/>
              <w:right w:w="15" w:type="dxa"/>
              <w:bottom w:w="15" w:type="dxa"/>
            </w:tcMar>
            <w:tcW w:w="2866" w:type="dxa"/>
            <w:vAlign w:val="center"/>
            <w:textDirection w:val="lrTb"/>
            <w:noWrap w:val="false"/>
          </w:tcPr>
          <w:p w14:paraId="1DA087A1">
            <w:pPr>
              <w:pBdr/>
              <w:spacing w:after="0" w:before="0" w:line="240" w:lineRule="auto"/>
              <w:ind/>
              <w:rPr/>
            </w:pPr>
            <w:r>
              <w:rPr>
                <w:rFonts w:ascii="Times New Roman" w:hAnsi="Times New Roman" w:eastAsia="Times New Roman" w:cs="Times New Roman"/>
                <w:color w:val="000000"/>
                <w:sz w:val="24"/>
              </w:rPr>
              <w:t xml:space="preserve">30 visiteurs</w:t>
            </w:r>
            <w:r/>
          </w:p>
        </w:tc>
      </w:tr>
      <w:tr>
        <w:trPr/>
        <w:tc>
          <w:tcPr>
            <w:tcBorders/>
            <w:tcMar>
              <w:left w:w="15" w:type="dxa"/>
              <w:top w:w="15" w:type="dxa"/>
              <w:right w:w="15" w:type="dxa"/>
              <w:bottom w:w="15" w:type="dxa"/>
            </w:tcMar>
            <w:tcW w:w="4339" w:type="dxa"/>
            <w:vAlign w:val="center"/>
            <w:textDirection w:val="lrTb"/>
            <w:noWrap w:val="false"/>
          </w:tcPr>
          <w:p w14:paraId="1FFE1C70">
            <w:pPr>
              <w:pBdr/>
              <w:spacing w:after="0" w:before="0" w:line="240" w:lineRule="auto"/>
              <w:ind/>
              <w:rPr/>
            </w:pPr>
            <w:r>
              <w:rPr>
                <w:rFonts w:ascii="Times New Roman" w:hAnsi="Times New Roman" w:eastAsia="Times New Roman" w:cs="Times New Roman"/>
                <w:color w:val="000000"/>
                <w:sz w:val="24"/>
              </w:rPr>
              <w:t xml:space="preserve">Bénévoles mobilisés pour Libre en fête</w:t>
            </w:r>
            <w:r/>
          </w:p>
        </w:tc>
        <w:tc>
          <w:tcPr>
            <w:tcBorders/>
            <w:tcMar>
              <w:left w:w="15" w:type="dxa"/>
              <w:top w:w="15" w:type="dxa"/>
              <w:right w:w="15" w:type="dxa"/>
              <w:bottom w:w="15" w:type="dxa"/>
            </w:tcMar>
            <w:tcW w:w="2866" w:type="dxa"/>
            <w:vAlign w:val="center"/>
            <w:textDirection w:val="lrTb"/>
            <w:noWrap w:val="false"/>
          </w:tcPr>
          <w:p w14:paraId="48F2F001">
            <w:pPr>
              <w:pBdr/>
              <w:spacing w:after="0" w:before="0" w:line="240" w:lineRule="auto"/>
              <w:ind/>
              <w:rPr/>
            </w:pPr>
            <w:r>
              <w:rPr>
                <w:rFonts w:ascii="Times New Roman" w:hAnsi="Times New Roman" w:eastAsia="Times New Roman" w:cs="Times New Roman"/>
                <w:color w:val="000000"/>
                <w:sz w:val="24"/>
              </w:rPr>
              <w:t xml:space="preserve">10 bénévoles</w:t>
            </w:r>
            <w:r/>
          </w:p>
        </w:tc>
      </w:tr>
      <w:tr>
        <w:trPr/>
        <w:tc>
          <w:tcPr>
            <w:tcBorders/>
            <w:tcMar>
              <w:left w:w="15" w:type="dxa"/>
              <w:top w:w="15" w:type="dxa"/>
              <w:right w:w="15" w:type="dxa"/>
              <w:bottom w:w="15" w:type="dxa"/>
            </w:tcMar>
            <w:tcW w:w="4339" w:type="dxa"/>
            <w:vAlign w:val="center"/>
            <w:textDirection w:val="lrTb"/>
            <w:noWrap w:val="false"/>
          </w:tcPr>
          <w:p w14:paraId="33C4C6A4">
            <w:pPr>
              <w:pBdr/>
              <w:spacing w:after="0" w:before="0" w:line="240" w:lineRule="auto"/>
              <w:ind/>
              <w:rPr/>
            </w:pPr>
            <w:r>
              <w:rPr>
                <w:rFonts w:ascii="Times New Roman" w:hAnsi="Times New Roman" w:eastAsia="Times New Roman" w:cs="Times New Roman"/>
                <w:color w:val="000000"/>
                <w:sz w:val="24"/>
              </w:rPr>
              <w:t xml:space="preserve">Permanences du GULL</w:t>
            </w:r>
            <w:r/>
          </w:p>
        </w:tc>
        <w:tc>
          <w:tcPr>
            <w:tcBorders/>
            <w:tcMar>
              <w:left w:w="15" w:type="dxa"/>
              <w:top w:w="15" w:type="dxa"/>
              <w:right w:w="15" w:type="dxa"/>
              <w:bottom w:w="15" w:type="dxa"/>
            </w:tcMar>
            <w:tcW w:w="2866" w:type="dxa"/>
            <w:vAlign w:val="center"/>
            <w:textDirection w:val="lrTb"/>
            <w:noWrap w:val="false"/>
          </w:tcPr>
          <w:p w14:paraId="79CD0050">
            <w:pPr>
              <w:pBdr/>
              <w:spacing w:after="0" w:before="0" w:line="240" w:lineRule="auto"/>
              <w:ind/>
              <w:rPr/>
            </w:pPr>
            <w:r>
              <w:rPr>
                <w:rFonts w:ascii="Times New Roman" w:hAnsi="Times New Roman" w:eastAsia="Times New Roman" w:cs="Times New Roman"/>
                <w:color w:val="000000"/>
                <w:sz w:val="24"/>
              </w:rPr>
              <w:t xml:space="preserve">15 permanences</w:t>
            </w:r>
            <w:r/>
          </w:p>
        </w:tc>
      </w:tr>
      <w:tr>
        <w:trPr/>
        <w:tc>
          <w:tcPr>
            <w:tcBorders/>
            <w:tcMar>
              <w:left w:w="15" w:type="dxa"/>
              <w:top w:w="15" w:type="dxa"/>
              <w:right w:w="15" w:type="dxa"/>
              <w:bottom w:w="15" w:type="dxa"/>
            </w:tcMar>
            <w:tcW w:w="4339" w:type="dxa"/>
            <w:vAlign w:val="center"/>
            <w:textDirection w:val="lrTb"/>
            <w:noWrap w:val="false"/>
          </w:tcPr>
          <w:p w14:paraId="0FCA9474">
            <w:pPr>
              <w:pBdr/>
              <w:spacing w:after="0" w:before="0" w:line="240" w:lineRule="auto"/>
              <w:ind/>
              <w:rPr/>
            </w:pPr>
            <w:r>
              <w:rPr>
                <w:rFonts w:ascii="Times New Roman" w:hAnsi="Times New Roman" w:eastAsia="Times New Roman" w:cs="Times New Roman"/>
                <w:color w:val="000000"/>
                <w:sz w:val="24"/>
              </w:rPr>
              <w:t xml:space="preserve">Ordinateurs équipés ou rééquipés avec Linux</w:t>
            </w:r>
            <w:r/>
          </w:p>
        </w:tc>
        <w:tc>
          <w:tcPr>
            <w:tcBorders/>
            <w:tcMar>
              <w:left w:w="15" w:type="dxa"/>
              <w:top w:w="15" w:type="dxa"/>
              <w:right w:w="15" w:type="dxa"/>
              <w:bottom w:w="15" w:type="dxa"/>
            </w:tcMar>
            <w:tcW w:w="2866" w:type="dxa"/>
            <w:vAlign w:val="center"/>
            <w:textDirection w:val="lrTb"/>
            <w:noWrap w:val="false"/>
          </w:tcPr>
          <w:p w14:paraId="62093880">
            <w:pPr>
              <w:pBdr/>
              <w:spacing w:after="0" w:before="0" w:line="240" w:lineRule="auto"/>
              <w:ind/>
              <w:rPr/>
            </w:pPr>
            <w:r>
              <w:rPr>
                <w:rFonts w:ascii="Times New Roman" w:hAnsi="Times New Roman" w:eastAsia="Times New Roman" w:cs="Times New Roman"/>
                <w:color w:val="000000"/>
                <w:sz w:val="24"/>
              </w:rPr>
              <w:t xml:space="preserve">Environ 20</w:t>
            </w:r>
            <w:r/>
          </w:p>
        </w:tc>
      </w:tr>
      <w:tr>
        <w:trPr/>
        <w:tc>
          <w:tcPr>
            <w:tcBorders/>
            <w:tcMar>
              <w:left w:w="15" w:type="dxa"/>
              <w:top w:w="15" w:type="dxa"/>
              <w:right w:w="15" w:type="dxa"/>
              <w:bottom w:w="15" w:type="dxa"/>
            </w:tcMar>
            <w:tcW w:w="4339" w:type="dxa"/>
            <w:vAlign w:val="center"/>
            <w:textDirection w:val="lrTb"/>
            <w:noWrap w:val="false"/>
          </w:tcPr>
          <w:p w14:paraId="43474507">
            <w:pPr>
              <w:pBdr/>
              <w:spacing w:after="0" w:before="0" w:line="240" w:lineRule="auto"/>
              <w:ind/>
              <w:rPr/>
            </w:pPr>
            <w:r>
              <w:rPr>
                <w:rFonts w:ascii="Times New Roman" w:hAnsi="Times New Roman" w:eastAsia="Times New Roman" w:cs="Times New Roman"/>
                <w:color w:val="000000"/>
                <w:sz w:val="24"/>
              </w:rPr>
              <w:t xml:space="preserve">Bénévoles impliqués dans le GULL</w:t>
            </w:r>
            <w:r/>
          </w:p>
        </w:tc>
        <w:tc>
          <w:tcPr>
            <w:tcBorders/>
            <w:tcMar>
              <w:left w:w="15" w:type="dxa"/>
              <w:top w:w="15" w:type="dxa"/>
              <w:right w:w="15" w:type="dxa"/>
              <w:bottom w:w="15" w:type="dxa"/>
            </w:tcMar>
            <w:tcW w:w="2866" w:type="dxa"/>
            <w:vAlign w:val="center"/>
            <w:textDirection w:val="lrTb"/>
            <w:noWrap w:val="false"/>
          </w:tcPr>
          <w:p w14:paraId="265CC9E4">
            <w:pPr>
              <w:pBdr/>
              <w:spacing w:after="0" w:before="0" w:line="240" w:lineRule="auto"/>
              <w:ind/>
              <w:rPr/>
            </w:pPr>
            <w:r>
              <w:rPr>
                <w:rFonts w:ascii="Times New Roman" w:hAnsi="Times New Roman" w:eastAsia="Times New Roman" w:cs="Times New Roman"/>
                <w:color w:val="000000"/>
                <w:sz w:val="24"/>
              </w:rPr>
              <w:t xml:space="preserve">Environ 10</w:t>
            </w:r>
            <w:r/>
          </w:p>
        </w:tc>
      </w:tr>
      <w:tr>
        <w:trPr/>
        <w:tc>
          <w:tcPr>
            <w:tcBorders/>
            <w:tcMar>
              <w:left w:w="15" w:type="dxa"/>
              <w:top w:w="15" w:type="dxa"/>
              <w:right w:w="15" w:type="dxa"/>
              <w:bottom w:w="15" w:type="dxa"/>
            </w:tcMar>
            <w:tcW w:w="4339" w:type="dxa"/>
            <w:vAlign w:val="center"/>
            <w:textDirection w:val="lrTb"/>
            <w:noWrap w:val="false"/>
          </w:tcPr>
          <w:p w14:paraId="5DC862A5">
            <w:pPr>
              <w:pBdr/>
              <w:spacing w:after="0" w:before="0" w:line="240" w:lineRule="auto"/>
              <w:ind/>
              <w:rPr/>
            </w:pPr>
            <w:r>
              <w:rPr>
                <w:rFonts w:ascii="Times New Roman" w:hAnsi="Times New Roman" w:eastAsia="Times New Roman" w:cs="Times New Roman"/>
                <w:color w:val="000000"/>
                <w:sz w:val="24"/>
              </w:rPr>
              <w:t xml:space="preserve">Réunion sur la fin de Windows 10</w:t>
            </w:r>
            <w:r/>
          </w:p>
        </w:tc>
        <w:tc>
          <w:tcPr>
            <w:tcBorders/>
            <w:tcMar>
              <w:left w:w="15" w:type="dxa"/>
              <w:top w:w="15" w:type="dxa"/>
              <w:right w:w="15" w:type="dxa"/>
              <w:bottom w:w="15" w:type="dxa"/>
            </w:tcMar>
            <w:tcW w:w="2866" w:type="dxa"/>
            <w:vAlign w:val="center"/>
            <w:textDirection w:val="lrTb"/>
            <w:noWrap w:val="false"/>
          </w:tcPr>
          <w:p w14:paraId="468C6312">
            <w:pPr>
              <w:pBdr/>
              <w:spacing w:after="0" w:before="0" w:line="240" w:lineRule="auto"/>
              <w:ind/>
              <w:rPr/>
            </w:pPr>
            <w:r>
              <w:rPr>
                <w:rFonts w:ascii="Times New Roman" w:hAnsi="Times New Roman" w:eastAsia="Times New Roman" w:cs="Times New Roman"/>
                <w:color w:val="000000"/>
                <w:sz w:val="24"/>
              </w:rPr>
              <w:t xml:space="preserve">Environ 40 participants</w:t>
            </w:r>
            <w:r/>
          </w:p>
        </w:tc>
      </w:tr>
      <w:tr>
        <w:trPr/>
        <w:tc>
          <w:tcPr>
            <w:tcBorders/>
            <w:tcMar>
              <w:left w:w="15" w:type="dxa"/>
              <w:top w:w="15" w:type="dxa"/>
              <w:right w:w="15" w:type="dxa"/>
              <w:bottom w:w="15" w:type="dxa"/>
            </w:tcMar>
            <w:tcW w:w="4339" w:type="dxa"/>
            <w:vAlign w:val="center"/>
            <w:textDirection w:val="lrTb"/>
            <w:noWrap w:val="false"/>
          </w:tcPr>
          <w:p w14:paraId="4FAEFF52">
            <w:pPr>
              <w:pBdr/>
              <w:spacing w:after="0" w:before="0" w:line="240" w:lineRule="auto"/>
              <w:ind/>
              <w:rPr/>
            </w:pPr>
            <w:r>
              <w:rPr>
                <w:rFonts w:ascii="Times New Roman" w:hAnsi="Times New Roman" w:eastAsia="Times New Roman" w:cs="Times New Roman"/>
                <w:color w:val="000000"/>
                <w:sz w:val="24"/>
              </w:rPr>
              <w:t xml:space="preserve">Interventions à domicile</w:t>
            </w:r>
            <w:r/>
          </w:p>
        </w:tc>
        <w:tc>
          <w:tcPr>
            <w:tcBorders/>
            <w:tcMar>
              <w:left w:w="15" w:type="dxa"/>
              <w:top w:w="15" w:type="dxa"/>
              <w:right w:w="15" w:type="dxa"/>
              <w:bottom w:w="15" w:type="dxa"/>
            </w:tcMar>
            <w:tcW w:w="2866" w:type="dxa"/>
            <w:vAlign w:val="center"/>
            <w:textDirection w:val="lrTb"/>
            <w:noWrap w:val="false"/>
          </w:tcPr>
          <w:p w14:paraId="1B5BF558">
            <w:pPr>
              <w:pBdr/>
              <w:spacing w:after="0" w:before="0" w:line="240" w:lineRule="auto"/>
              <w:ind/>
              <w:rPr/>
            </w:pPr>
            <w:r>
              <w:rPr>
                <w:rFonts w:ascii="Times New Roman" w:hAnsi="Times New Roman" w:eastAsia="Times New Roman" w:cs="Times New Roman"/>
                <w:color w:val="000000"/>
                <w:sz w:val="24"/>
              </w:rPr>
              <w:t xml:space="preserve">2 foyers accompagnés</w:t>
            </w:r>
            <w:r/>
          </w:p>
        </w:tc>
      </w:tr>
      <w:tr>
        <w:trPr/>
        <w:tc>
          <w:tcPr>
            <w:tcBorders/>
            <w:tcMar>
              <w:left w:w="15" w:type="dxa"/>
              <w:top w:w="15" w:type="dxa"/>
              <w:right w:w="15" w:type="dxa"/>
              <w:bottom w:w="15" w:type="dxa"/>
            </w:tcMar>
            <w:tcW w:w="4339" w:type="dxa"/>
            <w:vAlign w:val="center"/>
            <w:textDirection w:val="lrTb"/>
            <w:noWrap w:val="false"/>
          </w:tcPr>
          <w:p w14:paraId="7777A2DC">
            <w:pPr>
              <w:pBdr/>
              <w:spacing w:after="0" w:before="0" w:line="240" w:lineRule="auto"/>
              <w:ind/>
              <w:rPr/>
            </w:pPr>
            <w:r>
              <w:rPr>
                <w:rFonts w:ascii="Times New Roman" w:hAnsi="Times New Roman" w:eastAsia="Times New Roman" w:cs="Times New Roman"/>
                <w:color w:val="000000"/>
                <w:sz w:val="24"/>
              </w:rPr>
              <w:t xml:space="preserve">Organisation des interventions</w:t>
            </w:r>
            <w:r/>
          </w:p>
        </w:tc>
        <w:tc>
          <w:tcPr>
            <w:tcBorders/>
            <w:tcMar>
              <w:left w:w="15" w:type="dxa"/>
              <w:top w:w="15" w:type="dxa"/>
              <w:right w:w="15" w:type="dxa"/>
              <w:bottom w:w="15" w:type="dxa"/>
            </w:tcMar>
            <w:tcW w:w="2866" w:type="dxa"/>
            <w:vAlign w:val="center"/>
            <w:textDirection w:val="lrTb"/>
            <w:noWrap w:val="false"/>
          </w:tcPr>
          <w:p w14:paraId="53BEA44A">
            <w:pPr>
              <w:pBdr/>
              <w:spacing w:after="0" w:before="0" w:line="240" w:lineRule="auto"/>
              <w:ind/>
              <w:rPr/>
            </w:pPr>
            <w:r>
              <w:rPr>
                <w:rFonts w:ascii="Times New Roman" w:hAnsi="Times New Roman" w:eastAsia="Times New Roman" w:cs="Times New Roman"/>
                <w:color w:val="000000"/>
                <w:sz w:val="24"/>
              </w:rPr>
              <w:t xml:space="preserve">Intervention en binôme</w:t>
            </w:r>
            <w:r/>
          </w:p>
        </w:tc>
      </w:tr>
      <w:tr>
        <w:trPr/>
        <w:tc>
          <w:tcPr>
            <w:tcBorders/>
            <w:tcMar>
              <w:left w:w="15" w:type="dxa"/>
              <w:top w:w="15" w:type="dxa"/>
              <w:right w:w="15" w:type="dxa"/>
              <w:bottom w:w="15" w:type="dxa"/>
            </w:tcMar>
            <w:tcW w:w="4339" w:type="dxa"/>
            <w:vAlign w:val="center"/>
            <w:textDirection w:val="lrTb"/>
            <w:noWrap w:val="false"/>
          </w:tcPr>
          <w:p w14:paraId="472ACF67">
            <w:pPr>
              <w:pBdr/>
              <w:spacing w:after="0" w:before="0" w:line="240" w:lineRule="auto"/>
              <w:ind/>
              <w:rPr/>
            </w:pPr>
            <w:r>
              <w:rPr>
                <w:rFonts w:ascii="Times New Roman" w:hAnsi="Times New Roman" w:eastAsia="Times New Roman" w:cs="Times New Roman"/>
                <w:color w:val="000000"/>
                <w:sz w:val="24"/>
              </w:rPr>
              <w:t xml:space="preserve">Matériel de transport</w:t>
            </w:r>
            <w:r/>
          </w:p>
        </w:tc>
        <w:tc>
          <w:tcPr>
            <w:tcBorders/>
            <w:tcMar>
              <w:left w:w="15" w:type="dxa"/>
              <w:top w:w="15" w:type="dxa"/>
              <w:right w:w="15" w:type="dxa"/>
              <w:bottom w:w="15" w:type="dxa"/>
            </w:tcMar>
            <w:tcW w:w="2866" w:type="dxa"/>
            <w:vAlign w:val="center"/>
            <w:textDirection w:val="lrTb"/>
            <w:noWrap w:val="false"/>
          </w:tcPr>
          <w:p w14:paraId="7F932DC7">
            <w:pPr>
              <w:pBdr/>
              <w:spacing w:after="0" w:before="0" w:line="240" w:lineRule="auto"/>
              <w:ind/>
              <w:rPr/>
            </w:pPr>
            <w:r>
              <w:rPr>
                <w:rFonts w:ascii="Times New Roman" w:hAnsi="Times New Roman" w:eastAsia="Times New Roman" w:cs="Times New Roman"/>
                <w:color w:val="000000"/>
                <w:sz w:val="24"/>
              </w:rPr>
              <w:t xml:space="preserve">Achat en cours de finalisation</w:t>
            </w:r>
            <w:r/>
          </w:p>
        </w:tc>
      </w:tr>
    </w:tbl>
    <w:p w14:paraId="016A374B">
      <w:pPr>
        <w:pStyle w:val="851"/>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48"/>
        </w:rPr>
        <w:t xml:space="preserve">3. Axe 1 – Événement Libre en fête</w:t>
      </w:r>
      <w:r/>
    </w:p>
    <w:p w14:paraId="02AA3D31">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Objectifs</w:t>
      </w:r>
      <w:r/>
    </w:p>
    <w:p w14:paraId="37613A6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L’événement Libre en fête avait pour objectif de sensibiliser le grand public aux logiciels libres, à la protection des données personnelles, à la vie privée et, plus largement, aux enjeux d’un numérique responsable.</w:t>
      </w:r>
      <w:r/>
    </w:p>
    <w:p w14:paraId="6C5884B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Il devait également permettre de rendre les logiciels libres plus concrets et accessibles, à travers des démonstrations, des échanges avec des bénévoles et la découverte d’alternatives aux outils numériques propriétaires.</w:t>
      </w:r>
      <w:r/>
    </w:p>
    <w:p w14:paraId="098965A5">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Actions réalisées</w:t>
      </w:r>
      <w:r/>
    </w:p>
    <w:p w14:paraId="31BCAF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L’édition 2026 de Libre en fête s’est déroulée en deux temps.</w:t>
      </w:r>
      <w:r/>
    </w:p>
    <w:p w14:paraId="6D5A4FAA">
      <w:pPr>
        <w:pStyle w:val="853"/>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8"/>
        </w:rPr>
        <w:t xml:space="preserve">Soirée ciné-débat</w:t>
      </w:r>
      <w:r/>
    </w:p>
    <w:p w14:paraId="333530D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jeudi soir, une projection du documentaire </w:t>
      </w:r>
      <w:r>
        <w:rPr>
          <w:rFonts w:ascii="Times New Roman" w:hAnsi="Times New Roman" w:eastAsia="Times New Roman" w:cs="Times New Roman"/>
          <w:b/>
          <w:color w:val="000000"/>
          <w:sz w:val="24"/>
        </w:rPr>
        <w:t xml:space="preserve">Nothing to Hide</w:t>
      </w:r>
      <w:r>
        <w:rPr>
          <w:rFonts w:ascii="Times New Roman" w:hAnsi="Times New Roman" w:eastAsia="Times New Roman" w:cs="Times New Roman"/>
          <w:color w:val="000000"/>
          <w:sz w:val="24"/>
        </w:rPr>
        <w:t xml:space="preserve"> a été organisée au cinéma de Chemillé.</w:t>
      </w:r>
      <w:r/>
    </w:p>
    <w:p w14:paraId="3514CAD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La projection a réuni </w:t>
      </w:r>
      <w:r>
        <w:rPr>
          <w:rFonts w:ascii="Times New Roman" w:hAnsi="Times New Roman" w:eastAsia="Times New Roman" w:cs="Times New Roman"/>
          <w:b/>
          <w:color w:val="000000"/>
          <w:sz w:val="24"/>
        </w:rPr>
        <w:t xml:space="preserve">25 participants</w:t>
      </w:r>
      <w:r>
        <w:rPr>
          <w:rFonts w:ascii="Times New Roman" w:hAnsi="Times New Roman" w:eastAsia="Times New Roman" w:cs="Times New Roman"/>
          <w:color w:val="000000"/>
          <w:sz w:val="24"/>
        </w:rPr>
        <w:t xml:space="preserve">. Elle a été suivie d’un échange autour de la vie privée, de la collecte des données personnelles et de la place du numérique dans la vie quotidienne.</w:t>
      </w:r>
      <w:r/>
    </w:p>
    <w:p w14:paraId="2EB8C1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échanges ont été particulièrement riches. Les participants ont pu partager leurs pratiques, leurs interrogations et leurs inquiétudes concernant l’utilisation de leurs données.</w:t>
      </w:r>
      <w:r/>
    </w:p>
    <w:p w14:paraId="1018EA17">
      <w:pPr>
        <w:pStyle w:val="853"/>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8"/>
        </w:rPr>
        <w:t xml:space="preserve">Forum du libre</w:t>
      </w:r>
      <w:r/>
    </w:p>
    <w:p w14:paraId="5A6B79C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samedi, un forum a été organisé dans les locaux du Centre Social du Chemillois.</w:t>
      </w:r>
      <w:r/>
    </w:p>
    <w:p w14:paraId="46930C1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Différents stands permettaient de découvrir et de tester des outils et projets issus de la culture libre :</w:t>
      </w:r>
      <w:r/>
    </w:p>
    <w:p w14:paraId="23884A7E">
      <w:pPr>
        <w:pStyle w:val="914"/>
        <w:numPr>
          <w:ilvl w:val="0"/>
          <w:numId w:val="2"/>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GNU/Linux ;</w:t>
      </w:r>
      <w:r/>
    </w:p>
    <w:p w14:paraId="61B8DE5E">
      <w:pPr>
        <w:pStyle w:val="914"/>
        <w:numPr>
          <w:ilvl w:val="0"/>
          <w:numId w:val="2"/>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LibreOffice ;</w:t>
      </w:r>
      <w:r/>
    </w:p>
    <w:p w14:paraId="14E40B30">
      <w:pPr>
        <w:pStyle w:val="914"/>
        <w:numPr>
          <w:ilvl w:val="0"/>
          <w:numId w:val="2"/>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F-Droid ;</w:t>
      </w:r>
      <w:r/>
    </w:p>
    <w:p w14:paraId="2C9377B3">
      <w:pPr>
        <w:pStyle w:val="914"/>
        <w:numPr>
          <w:ilvl w:val="0"/>
          <w:numId w:val="2"/>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OpenStreetMap ;</w:t>
      </w:r>
      <w:r/>
    </w:p>
    <w:p w14:paraId="5AA52FC5">
      <w:pPr>
        <w:pStyle w:val="914"/>
        <w:numPr>
          <w:ilvl w:val="0"/>
          <w:numId w:val="2"/>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Blender ;</w:t>
      </w:r>
      <w:r/>
    </w:p>
    <w:p w14:paraId="5384C74B">
      <w:pPr>
        <w:pStyle w:val="914"/>
        <w:numPr>
          <w:ilvl w:val="0"/>
          <w:numId w:val="2"/>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GIMP ;</w:t>
      </w:r>
      <w:r/>
    </w:p>
    <w:p w14:paraId="11151530">
      <w:pPr>
        <w:pStyle w:val="914"/>
        <w:numPr>
          <w:ilvl w:val="0"/>
          <w:numId w:val="2"/>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GRAMPS.</w:t>
      </w:r>
      <w:r/>
    </w:p>
    <w:p w14:paraId="697D495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Une grainothèque a également été créée à l’occasion de cette journée. Elle permet désormais aux habitants de déposer, récupérer et partager des graines et des semences. Cette initiative a permis d’élargir la notion de « libre » au-delà du numérique, en abo</w:t>
      </w:r>
      <w:r>
        <w:rPr>
          <w:rFonts w:ascii="Times New Roman" w:hAnsi="Times New Roman" w:eastAsia="Times New Roman" w:cs="Times New Roman"/>
          <w:color w:val="000000"/>
          <w:sz w:val="24"/>
        </w:rPr>
        <w:t xml:space="preserve">rdant également les questions de partage des savoirs et des ressources.</w:t>
      </w:r>
      <w:r/>
    </w:p>
    <w:p w14:paraId="4F6D106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La journée a accueilli </w:t>
      </w:r>
      <w:r>
        <w:rPr>
          <w:rFonts w:ascii="Times New Roman" w:hAnsi="Times New Roman" w:eastAsia="Times New Roman" w:cs="Times New Roman"/>
          <w:b/>
          <w:color w:val="000000"/>
          <w:sz w:val="24"/>
        </w:rPr>
        <w:t xml:space="preserve">30 visiteurs différents</w:t>
      </w:r>
      <w:r>
        <w:rPr>
          <w:rFonts w:ascii="Times New Roman" w:hAnsi="Times New Roman" w:eastAsia="Times New Roman" w:cs="Times New Roman"/>
          <w:color w:val="000000"/>
          <w:sz w:val="24"/>
        </w:rPr>
        <w:t xml:space="preserve">, accompagnés par </w:t>
      </w:r>
      <w:r>
        <w:rPr>
          <w:rFonts w:ascii="Times New Roman" w:hAnsi="Times New Roman" w:eastAsia="Times New Roman" w:cs="Times New Roman"/>
          <w:b/>
          <w:color w:val="000000"/>
          <w:sz w:val="24"/>
        </w:rPr>
        <w:t xml:space="preserve">10 bénévoles</w:t>
      </w:r>
      <w:r>
        <w:rPr>
          <w:rFonts w:ascii="Times New Roman" w:hAnsi="Times New Roman" w:eastAsia="Times New Roman" w:cs="Times New Roman"/>
          <w:color w:val="000000"/>
          <w:sz w:val="24"/>
        </w:rPr>
        <w:t xml:space="preserve"> mobilisés sur les stands et les temps d’échange.</w:t>
      </w:r>
      <w:r/>
    </w:p>
    <w:p w14:paraId="53906AEB">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Résultats</w:t>
      </w:r>
      <w:r/>
    </w:p>
    <w:p w14:paraId="5C109A8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Au total, l’événement a touché </w:t>
      </w:r>
      <w:r>
        <w:rPr>
          <w:rFonts w:ascii="Times New Roman" w:hAnsi="Times New Roman" w:eastAsia="Times New Roman" w:cs="Times New Roman"/>
          <w:b/>
          <w:color w:val="000000"/>
          <w:sz w:val="24"/>
        </w:rPr>
        <w:t xml:space="preserve">55 participants différents</w:t>
      </w:r>
      <w:r>
        <w:rPr>
          <w:rFonts w:ascii="Times New Roman" w:hAnsi="Times New Roman" w:eastAsia="Times New Roman" w:cs="Times New Roman"/>
          <w:color w:val="000000"/>
          <w:sz w:val="24"/>
        </w:rPr>
        <w:t xml:space="preserve">, répartis entre la soirée ciné-débat et le forum du samedi.</w:t>
      </w:r>
      <w:r/>
    </w:p>
    <w:p w14:paraId="1E10CD2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L’objectif initial de 50 participants a donc été atteint et légèrement dépassé.</w:t>
      </w:r>
      <w:r/>
    </w:p>
    <w:p w14:paraId="020EDA8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principaux points positifs sont :</w:t>
      </w:r>
      <w:r/>
    </w:p>
    <w:p w14:paraId="2DF1BF63">
      <w:pPr>
        <w:pStyle w:val="914"/>
        <w:numPr>
          <w:ilvl w:val="0"/>
          <w:numId w:val="3"/>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la qualité des échanges avec les participants ;</w:t>
      </w:r>
      <w:r/>
    </w:p>
    <w:p w14:paraId="0F161EEA">
      <w:pPr>
        <w:pStyle w:val="914"/>
        <w:numPr>
          <w:ilvl w:val="0"/>
          <w:numId w:val="3"/>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la mobilisation importante des bénévoles ;</w:t>
      </w:r>
      <w:r/>
    </w:p>
    <w:p w14:paraId="4BD88726">
      <w:pPr>
        <w:pStyle w:val="914"/>
        <w:numPr>
          <w:ilvl w:val="0"/>
          <w:numId w:val="3"/>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la diversité des logiciels et projets présentés ;</w:t>
      </w:r>
      <w:r/>
    </w:p>
    <w:p w14:paraId="5116A42B">
      <w:pPr>
        <w:pStyle w:val="914"/>
        <w:numPr>
          <w:ilvl w:val="0"/>
          <w:numId w:val="3"/>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la complémentarité entre le cinéma, les stands pratiques et la grainothèque ;</w:t>
      </w:r>
      <w:r/>
    </w:p>
    <w:p w14:paraId="5BAC4D82">
      <w:pPr>
        <w:pStyle w:val="914"/>
        <w:numPr>
          <w:ilvl w:val="0"/>
          <w:numId w:val="3"/>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la création de liens entre des habitants partageant un intérêt pour les logiciels libres.</w:t>
      </w:r>
      <w:r/>
    </w:p>
    <w:p w14:paraId="599F29A6">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Difficultés rencontrées</w:t>
      </w:r>
      <w:r/>
    </w:p>
    <w:p w14:paraId="2A83245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Même si la fréquentation reste satisfaisante, la mobilisation du grand public a été plus difficile que prévu.</w:t>
      </w:r>
      <w:r/>
    </w:p>
    <w:p w14:paraId="66A188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personnes présentes étaient, pour une grande partie, déjà intéressées ou sensibilisées aux logiciels libres. L’objectif était également de toucher des personnes plus éloignées de ces sujets, qui ne connaissent pas encore les alternatives libres ou qui </w:t>
      </w:r>
      <w:r>
        <w:rPr>
          <w:rFonts w:ascii="Times New Roman" w:hAnsi="Times New Roman" w:eastAsia="Times New Roman" w:cs="Times New Roman"/>
          <w:color w:val="000000"/>
          <w:sz w:val="24"/>
        </w:rPr>
        <w:t xml:space="preserve">ne pensent pas être concernées.</w:t>
      </w:r>
      <w:r/>
    </w:p>
    <w:p w14:paraId="3C4012E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La communication autour des logiciels libres reste complexe : le sujet peut parfois sembler technique ou réservé à un public déjà initié.</w:t>
      </w:r>
      <w:r/>
    </w:p>
    <w:p w14:paraId="450B343F">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Perspectives</w:t>
      </w:r>
      <w:r/>
    </w:p>
    <w:p w14:paraId="7C79FD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L’événement sera reconduit la saison prochaine.</w:t>
      </w:r>
      <w:r/>
    </w:p>
    <w:p w14:paraId="3DB46A0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Une attention particulière sera portée à la communication afin de toucher un public plus large. Il pourra notamment être utile de présenter les logiciels libres à partir de besoins très concrets : prolonger la durée de vie de son ordinateur, éviter certain</w:t>
      </w:r>
      <w:r>
        <w:rPr>
          <w:rFonts w:ascii="Times New Roman" w:hAnsi="Times New Roman" w:eastAsia="Times New Roman" w:cs="Times New Roman"/>
          <w:color w:val="000000"/>
          <w:sz w:val="24"/>
        </w:rPr>
        <w:t xml:space="preserve">s abonnements, protéger ses données, utiliser des outils gratuits ou trouver des alternatives à Windows.</w:t>
      </w:r>
      <w:r/>
    </w:p>
    <w:p w14:paraId="224818C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L’objectif sera de conserver la qualité des échanges tout en rendant l’événement encore plus accessible aux personnes débutantes.</w:t>
      </w:r>
      <w:r/>
    </w:p>
    <w:p w14:paraId="5140E09D">
      <w:pPr>
        <w:pStyle w:val="851"/>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48"/>
        </w:rPr>
        <w:t xml:space="preserve">4. Axe 2 – Permanences du GULL</w:t>
      </w:r>
      <w:r/>
    </w:p>
    <w:p w14:paraId="13AA1DC1">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Objectifs</w:t>
      </w:r>
      <w:r/>
    </w:p>
    <w:p w14:paraId="7C18DD7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permanences du GULL avaient pour objectif de proposer un accompagnement régulier autour des logiciels libres, de Linux et du reconditionnement informatique.</w:t>
      </w:r>
      <w:r/>
    </w:p>
    <w:p w14:paraId="67396F1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Elles devaient également permettre de développer une dynamique d’entraide entre habitants, débutants et bénévoles plus expérimentés.</w:t>
      </w:r>
      <w:r/>
    </w:p>
    <w:p w14:paraId="29593264">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Actions réalisées</w:t>
      </w:r>
      <w:r/>
    </w:p>
    <w:p w14:paraId="4B2DDA0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GULL était en cours de création au démarrage du projet. Le groupe venait tout juste de se constituer et son organisation commençait à se structurer.</w:t>
      </w:r>
      <w:r/>
    </w:p>
    <w:p w14:paraId="5A08DE7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Sur la période de septembre 2025 à août 2026, </w:t>
      </w:r>
      <w:r>
        <w:rPr>
          <w:rFonts w:ascii="Times New Roman" w:hAnsi="Times New Roman" w:eastAsia="Times New Roman" w:cs="Times New Roman"/>
          <w:b/>
          <w:color w:val="000000"/>
          <w:sz w:val="24"/>
        </w:rPr>
        <w:t xml:space="preserve">15 permanences</w:t>
      </w:r>
      <w:r>
        <w:rPr>
          <w:rFonts w:ascii="Times New Roman" w:hAnsi="Times New Roman" w:eastAsia="Times New Roman" w:cs="Times New Roman"/>
          <w:color w:val="000000"/>
          <w:sz w:val="24"/>
        </w:rPr>
        <w:t xml:space="preserve"> ont été organisées, sur un rythme d’environ deux rencontres par mois.</w:t>
      </w:r>
      <w:r/>
    </w:p>
    <w:p w14:paraId="7C684FD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Une dizaine de bénévoles ont été impliqués dans ces permanences. Ils ont participé à :</w:t>
      </w:r>
      <w:r/>
    </w:p>
    <w:p w14:paraId="2318A60A">
      <w:pPr>
        <w:pStyle w:val="914"/>
        <w:numPr>
          <w:ilvl w:val="0"/>
          <w:numId w:val="4"/>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l’accueil des habitants ;</w:t>
      </w:r>
      <w:r/>
    </w:p>
    <w:p w14:paraId="242B3089">
      <w:pPr>
        <w:pStyle w:val="914"/>
        <w:numPr>
          <w:ilvl w:val="0"/>
          <w:numId w:val="4"/>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l’installation de systèmes Linux ;</w:t>
      </w:r>
      <w:r/>
    </w:p>
    <w:p w14:paraId="2D37B095">
      <w:pPr>
        <w:pStyle w:val="914"/>
        <w:numPr>
          <w:ilvl w:val="0"/>
          <w:numId w:val="4"/>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la sauvegarde et au transfert de données ;</w:t>
      </w:r>
      <w:r/>
    </w:p>
    <w:p w14:paraId="6D6AC9C8">
      <w:pPr>
        <w:pStyle w:val="914"/>
        <w:numPr>
          <w:ilvl w:val="0"/>
          <w:numId w:val="4"/>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la remise en fonctionnement d’ordinateurs ;</w:t>
      </w:r>
      <w:r/>
    </w:p>
    <w:p w14:paraId="2CE9C1D9">
      <w:pPr>
        <w:pStyle w:val="914"/>
        <w:numPr>
          <w:ilvl w:val="0"/>
          <w:numId w:val="4"/>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la découverte de logiciels libres ;</w:t>
      </w:r>
      <w:r/>
    </w:p>
    <w:p w14:paraId="34D7F3EA">
      <w:pPr>
        <w:pStyle w:val="914"/>
        <w:numPr>
          <w:ilvl w:val="0"/>
          <w:numId w:val="4"/>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l’accompagnement des nouveaux utilisateurs de Linux.</w:t>
      </w:r>
      <w:r/>
    </w:p>
    <w:p w14:paraId="5F00038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Environ </w:t>
      </w:r>
      <w:r>
        <w:rPr>
          <w:rFonts w:ascii="Times New Roman" w:hAnsi="Times New Roman" w:eastAsia="Times New Roman" w:cs="Times New Roman"/>
          <w:b/>
          <w:color w:val="000000"/>
          <w:sz w:val="24"/>
        </w:rPr>
        <w:t xml:space="preserve">20 ordinateurs ont été équipés ou rééquipés avec Linux</w:t>
      </w:r>
      <w:r>
        <w:rPr>
          <w:rFonts w:ascii="Times New Roman" w:hAnsi="Times New Roman" w:eastAsia="Times New Roman" w:cs="Times New Roman"/>
          <w:color w:val="000000"/>
          <w:sz w:val="24"/>
        </w:rPr>
        <w:t xml:space="preserve"> dans le cadre des permanences et des actions portées par le groupe.</w:t>
      </w:r>
      <w:r/>
    </w:p>
    <w:p w14:paraId="5AB18562">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Réunion sur la fin des mises à jour de Windows 10</w:t>
      </w:r>
      <w:r/>
    </w:p>
    <w:p w14:paraId="23F5814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La fin du support de Windows 10 a constitué un sujet important durant la période du projet.</w:t>
      </w:r>
      <w:r/>
    </w:p>
    <w:p w14:paraId="654FE43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Une réunion spécifique a été organisée afin d’informer les habitants sur les conséquences de l’arrêt des mises à jour de sécurité et sur les solutions possibles.</w:t>
      </w:r>
      <w:r/>
    </w:p>
    <w:p w14:paraId="69D6E7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Cette rencontre a réuni </w:t>
      </w:r>
      <w:r>
        <w:rPr>
          <w:rFonts w:ascii="Times New Roman" w:hAnsi="Times New Roman" w:eastAsia="Times New Roman" w:cs="Times New Roman"/>
          <w:b/>
          <w:color w:val="000000"/>
          <w:sz w:val="24"/>
        </w:rPr>
        <w:t xml:space="preserve">environ 40 personnes</w:t>
      </w:r>
      <w:r>
        <w:rPr>
          <w:rFonts w:ascii="Times New Roman" w:hAnsi="Times New Roman" w:eastAsia="Times New Roman" w:cs="Times New Roman"/>
          <w:color w:val="000000"/>
          <w:sz w:val="24"/>
        </w:rPr>
        <w:t xml:space="preserve">, ce qui confirme la forte inquiétude des habitants concernant le devenir de leurs ordinateurs.</w:t>
      </w:r>
      <w:r/>
    </w:p>
    <w:p w14:paraId="1F13202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La fin du support de Windows 10 a entraîné une augmentation des demandes de transition de Windows vers Linux. Pour certaines personnes, Linux représente une solution permettant de prolonger la durée de vie d’un ordinateur qui fonctionne encore correctement</w:t>
      </w:r>
      <w:r>
        <w:rPr>
          <w:rFonts w:ascii="Times New Roman" w:hAnsi="Times New Roman" w:eastAsia="Times New Roman" w:cs="Times New Roman"/>
          <w:color w:val="000000"/>
          <w:sz w:val="24"/>
        </w:rPr>
        <w:t xml:space="preserve">, mais qui ne peut pas accueillir une version récente de Windows.</w:t>
      </w:r>
      <w:r/>
    </w:p>
    <w:p w14:paraId="5CAB1B54">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Résultats</w:t>
      </w:r>
      <w:r/>
    </w:p>
    <w:p w14:paraId="08C2959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permanences ont permis :</w:t>
      </w:r>
      <w:r/>
    </w:p>
    <w:p w14:paraId="4928AB3A">
      <w:pPr>
        <w:pStyle w:val="914"/>
        <w:numPr>
          <w:ilvl w:val="0"/>
          <w:numId w:val="5"/>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 structurer progressivement le nouveau GULL ;</w:t>
      </w:r>
      <w:r/>
    </w:p>
    <w:p w14:paraId="1A359DEE">
      <w:pPr>
        <w:pStyle w:val="914"/>
        <w:numPr>
          <w:ilvl w:val="0"/>
          <w:numId w:val="5"/>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 mobiliser une dizaine de bénévoles ;</w:t>
      </w:r>
      <w:r/>
    </w:p>
    <w:p w14:paraId="766C1420">
      <w:pPr>
        <w:pStyle w:val="914"/>
        <w:numPr>
          <w:ilvl w:val="0"/>
          <w:numId w:val="5"/>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d’accompagner les habitants dans la découverte de Linux ;</w:t>
      </w:r>
      <w:r/>
    </w:p>
    <w:p w14:paraId="25C78593">
      <w:pPr>
        <w:pStyle w:val="914"/>
        <w:numPr>
          <w:ilvl w:val="0"/>
          <w:numId w:val="5"/>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 remettre en fonctionnement ou de prolonger la durée de vie d’une vingtaine d’ordinateurs ;</w:t>
      </w:r>
      <w:r/>
    </w:p>
    <w:p w14:paraId="001D20A7">
      <w:pPr>
        <w:pStyle w:val="914"/>
        <w:numPr>
          <w:ilvl w:val="0"/>
          <w:numId w:val="5"/>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 répondre à une préoccupation concrète liée à la fin de Windows 10 ;</w:t>
      </w:r>
      <w:r/>
    </w:p>
    <w:p w14:paraId="34984722">
      <w:pPr>
        <w:pStyle w:val="914"/>
        <w:numPr>
          <w:ilvl w:val="0"/>
          <w:numId w:val="5"/>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 développer des échanges de savoirs entre bénévoles et habitants.</w:t>
      </w:r>
      <w:r/>
    </w:p>
    <w:p w14:paraId="64526FA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La fréquentation et les demandes montrent que le besoin existe sur le territoire, notamment autour du réemploi informatique et de la recherche d’alternatives gratuites aux logiciels propriétaires.</w:t>
      </w:r>
      <w:r/>
    </w:p>
    <w:p w14:paraId="6E92587C">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Écart par rapport à l’objectif initial</w:t>
      </w:r>
      <w:r/>
    </w:p>
    <w:p w14:paraId="7E1A52E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L’objectif initial était de réaliser 20 permanences sur la période. </w:t>
      </w:r>
      <w:r>
        <w:rPr>
          <w:rFonts w:ascii="Times New Roman" w:hAnsi="Times New Roman" w:eastAsia="Times New Roman" w:cs="Times New Roman"/>
          <w:b/>
          <w:color w:val="000000"/>
          <w:sz w:val="24"/>
        </w:rPr>
        <w:t xml:space="preserve">15 permanences ont finalement été organisées.</w:t>
      </w:r>
      <w:r/>
    </w:p>
    <w:p w14:paraId="6B7E83F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Cet écart s’explique notamment par le fait que le GULL était encore en phase de création et de structuration. Il a fallu définir son fonctionnement, mobiliser durablement les bénévoles, répartir les rôles et faire connaître les permanences auprès des habit</w:t>
      </w:r>
      <w:r>
        <w:rPr>
          <w:rFonts w:ascii="Times New Roman" w:hAnsi="Times New Roman" w:eastAsia="Times New Roman" w:cs="Times New Roman"/>
          <w:color w:val="000000"/>
          <w:sz w:val="24"/>
        </w:rPr>
        <w:t xml:space="preserve">ants.</w:t>
      </w:r>
      <w:r/>
    </w:p>
    <w:p w14:paraId="072447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Malgré un nombre de permanences inférieur à l’objectif, les actions réalisées ont permis de poser des bases solides pour la poursuite du groupe.</w:t>
      </w:r>
      <w:r/>
    </w:p>
    <w:p w14:paraId="5BE6106F">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Perspectives</w:t>
      </w:r>
      <w:r/>
    </w:p>
    <w:p w14:paraId="42F2423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permanences seront reconduites la saison prochaine.</w:t>
      </w:r>
      <w:r/>
    </w:p>
    <w:p w14:paraId="2333FD7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La poursuite du projet devra permettre :</w:t>
      </w:r>
      <w:r/>
    </w:p>
    <w:p w14:paraId="2CD8C09A">
      <w:pPr>
        <w:pStyle w:val="914"/>
        <w:numPr>
          <w:ilvl w:val="0"/>
          <w:numId w:val="6"/>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 stabiliser le rythme des permanences ;</w:t>
      </w:r>
      <w:r/>
    </w:p>
    <w:p w14:paraId="5721AF59">
      <w:pPr>
        <w:pStyle w:val="914"/>
        <w:numPr>
          <w:ilvl w:val="0"/>
          <w:numId w:val="6"/>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 mieux suivre le nombre de participants et les types de demandes ;</w:t>
      </w:r>
      <w:r/>
    </w:p>
    <w:p w14:paraId="4DAC099B">
      <w:pPr>
        <w:pStyle w:val="914"/>
        <w:numPr>
          <w:ilvl w:val="0"/>
          <w:numId w:val="6"/>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 renforcer l’accueil des personnes débutantes ;</w:t>
      </w:r>
      <w:r/>
    </w:p>
    <w:p w14:paraId="48B13BA4">
      <w:pPr>
        <w:pStyle w:val="914"/>
        <w:numPr>
          <w:ilvl w:val="0"/>
          <w:numId w:val="6"/>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 poursuivre les installations de Linux ;</w:t>
      </w:r>
      <w:r/>
    </w:p>
    <w:p w14:paraId="26F88347">
      <w:pPr>
        <w:pStyle w:val="914"/>
        <w:numPr>
          <w:ilvl w:val="0"/>
          <w:numId w:val="6"/>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 développer des supports simples pour accompagner les nouveaux utilisateurs ;</w:t>
      </w:r>
      <w:r/>
    </w:p>
    <w:p w14:paraId="1BBDC7EB">
      <w:pPr>
        <w:pStyle w:val="914"/>
        <w:numPr>
          <w:ilvl w:val="0"/>
          <w:numId w:val="6"/>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 maintenir la dynamique créée autour de la fin de Windows 10.</w:t>
      </w:r>
      <w:r/>
    </w:p>
    <w:p w14:paraId="3F62DB0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GULL pourra également poursuivre son ouverture vers d’autres acteurs et habitants du territoire afin de ne pas reposer uniquement sur un petit groupe de personnes déjà engagées.</w:t>
      </w:r>
      <w:r/>
    </w:p>
    <w:p w14:paraId="28ED7F18">
      <w:pPr>
        <w:pStyle w:val="851"/>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48"/>
        </w:rPr>
        <w:t xml:space="preserve">5. Axe 3 – Interventions bénévoles à domicile</w:t>
      </w:r>
      <w:r/>
    </w:p>
    <w:p w14:paraId="6FCB8CF0">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Objectifs</w:t>
      </w:r>
      <w:r/>
    </w:p>
    <w:p w14:paraId="6DB023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Cet axe avait pour objectif d’expérimenter un service d’accompagnement numérique à domicile assuré par des bénévoles.</w:t>
      </w:r>
      <w:r/>
    </w:p>
    <w:p w14:paraId="0F73521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dispositif devait répondre aux besoins de personnes ayant des difficultés à se déplacer ou rencontrant un problème informatique qui ne pouvait pas facilement être traité dans les locaux du Centre Social.</w:t>
      </w:r>
      <w:r/>
    </w:p>
    <w:p w14:paraId="2FE3AE9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L’objectif était également de mieux encadrer des pratiques qui existaient auparavant de manière informelle, en proposant :</w:t>
      </w:r>
      <w:r/>
    </w:p>
    <w:p w14:paraId="401B73C1">
      <w:pPr>
        <w:pStyle w:val="914"/>
        <w:numPr>
          <w:ilvl w:val="0"/>
          <w:numId w:val="7"/>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des interventions réalisées en binôme ;</w:t>
      </w:r>
      <w:r/>
    </w:p>
    <w:p w14:paraId="131F97E2">
      <w:pPr>
        <w:pStyle w:val="914"/>
        <w:numPr>
          <w:ilvl w:val="0"/>
          <w:numId w:val="7"/>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un cadre de fonctionnement clair ;</w:t>
      </w:r>
      <w:r/>
    </w:p>
    <w:p w14:paraId="08536272">
      <w:pPr>
        <w:pStyle w:val="914"/>
        <w:numPr>
          <w:ilvl w:val="0"/>
          <w:numId w:val="7"/>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du matériel adapté ;</w:t>
      </w:r>
      <w:r/>
    </w:p>
    <w:p w14:paraId="23E92971">
      <w:pPr>
        <w:pStyle w:val="914"/>
        <w:numPr>
          <w:ilvl w:val="0"/>
          <w:numId w:val="7"/>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une organisation sécurisante pour les habitants et les bénévoles ;</w:t>
      </w:r>
      <w:r/>
    </w:p>
    <w:p w14:paraId="61BF6A94">
      <w:pPr>
        <w:pStyle w:val="914"/>
        <w:numPr>
          <w:ilvl w:val="0"/>
          <w:numId w:val="7"/>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un suivi des interventions.</w:t>
      </w:r>
      <w:r/>
    </w:p>
    <w:p w14:paraId="4418970C">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Actions réalisées</w:t>
      </w:r>
      <w:r/>
    </w:p>
    <w:p w14:paraId="6CE82A9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lancement de cet axe a demandé davantage de temps que prévu.</w:t>
      </w:r>
      <w:r/>
    </w:p>
    <w:p w14:paraId="5FD26B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Il a été nécessaire de présenter le projet aux bénévoles, de les mobiliser autour de cette nouvelle mission et de réfléchir aux conditions concrètes d’intervention. Le passage d’une aide informelle à un service organisé nécessite en effet de clarifier les </w:t>
      </w:r>
      <w:r>
        <w:rPr>
          <w:rFonts w:ascii="Times New Roman" w:hAnsi="Times New Roman" w:eastAsia="Times New Roman" w:cs="Times New Roman"/>
          <w:color w:val="000000"/>
          <w:sz w:val="24"/>
        </w:rPr>
        <w:t xml:space="preserve">responsabilités, les limites de l’accompagnement et les modalités de déplacement.</w:t>
      </w:r>
      <w:r/>
    </w:p>
    <w:p w14:paraId="4F7AAFF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Au moment du bilan, des bénévoles sont intervenus officiellement auprès de </w:t>
      </w:r>
      <w:r>
        <w:rPr>
          <w:rFonts w:ascii="Times New Roman" w:hAnsi="Times New Roman" w:eastAsia="Times New Roman" w:cs="Times New Roman"/>
          <w:b/>
          <w:color w:val="000000"/>
          <w:sz w:val="24"/>
        </w:rPr>
        <w:t xml:space="preserve">deux foyers différents</w:t>
      </w:r>
      <w:r>
        <w:rPr>
          <w:rFonts w:ascii="Times New Roman" w:hAnsi="Times New Roman" w:eastAsia="Times New Roman" w:cs="Times New Roman"/>
          <w:color w:val="000000"/>
          <w:sz w:val="24"/>
        </w:rPr>
        <w:t xml:space="preserve">.</w:t>
      </w:r>
      <w:r/>
    </w:p>
    <w:p w14:paraId="76D6B8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interventions ont été réalisées </w:t>
      </w:r>
      <w:r>
        <w:rPr>
          <w:rFonts w:ascii="Times New Roman" w:hAnsi="Times New Roman" w:eastAsia="Times New Roman" w:cs="Times New Roman"/>
          <w:b/>
          <w:color w:val="000000"/>
          <w:sz w:val="24"/>
        </w:rPr>
        <w:t xml:space="preserve">en binôme</w:t>
      </w:r>
      <w:r>
        <w:rPr>
          <w:rFonts w:ascii="Times New Roman" w:hAnsi="Times New Roman" w:eastAsia="Times New Roman" w:cs="Times New Roman"/>
          <w:color w:val="000000"/>
          <w:sz w:val="24"/>
        </w:rPr>
        <w:t xml:space="preserve">, conformément au cadre envisagé dans le projet.</w:t>
      </w:r>
      <w:r/>
    </w:p>
    <w:p w14:paraId="7AAE208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L’un des besoins concernait notamment un dépannage lié à l’installation de caméras de surveillance chez un habitant.</w:t>
      </w:r>
      <w:r/>
    </w:p>
    <w:p w14:paraId="41B25F9B">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Retours des habitants</w:t>
      </w:r>
      <w:r/>
    </w:p>
    <w:p w14:paraId="2BF12B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retours des personnes accompagnées ont été très positifs.</w:t>
      </w:r>
      <w:r/>
    </w:p>
    <w:p w14:paraId="0E7A88C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Des habitants ont repris contact avec le Centre Social après l’intervention afin de remercier les bénévoles et de faire part de leur satisfaction.</w:t>
      </w:r>
      <w:r/>
    </w:p>
    <w:p w14:paraId="3AB4E33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Ces retours montrent que l’intervention à domicile répond à un réel besoin, notamment lorsque la personne ne peut pas déplacer facilement son matériel ou lorsque le problème nécessite d’observer l’installation dans son environnement habituel.</w:t>
      </w:r>
      <w:r/>
    </w:p>
    <w:p w14:paraId="0B95117E">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Matériel de transport</w:t>
      </w:r>
      <w:r/>
    </w:p>
    <w:p w14:paraId="7CF04E9B">
      <w:pPr>
        <w:pBdr>
          <w:top w:val="none" w:color="000000" w:sz="4" w:space="0"/>
          <w:left w:val="none" w:color="000000" w:sz="4" w:space="0"/>
          <w:bottom w:val="none" w:color="000000" w:sz="4" w:space="0"/>
          <w:right w:val="none" w:color="000000" w:sz="4" w:space="0"/>
        </w:pBdr>
        <w:spacing/>
        <w:ind w:right="0" w:firstLine="0" w:left="0"/>
        <w:rPr>
          <w:highlight w:val="none"/>
        </w:rPr>
      </w:pPr>
      <w:r>
        <w:rPr>
          <w:rFonts w:ascii="Times New Roman" w:hAnsi="Times New Roman" w:eastAsia="Times New Roman" w:cs="Times New Roman"/>
          <w:color w:val="000000"/>
          <w:sz w:val="24"/>
        </w:rPr>
        <w:t xml:space="preserve">L’achat du matériel de transport est en cours de finalisation.</w:t>
      </w:r>
      <w:r>
        <w:rPr>
          <w:highlight w:val="none"/>
        </w:rPr>
      </w:r>
      <w:r>
        <w:rPr>
          <w:highlight w:val="none"/>
        </w:rPr>
      </w:r>
    </w:p>
    <w:p w14:paraId="2BD30162">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eastAsia="Times New Roman" w:cs="Times New Roman"/>
          <w:sz w:val="24"/>
          <w:szCs w:val="24"/>
          <w:highlight w:val="none"/>
        </w:rPr>
      </w:pPr>
      <w:r>
        <w:rPr>
          <w:rFonts w:ascii="Times New Roman" w:hAnsi="Times New Roman" w:eastAsia="Times New Roman" w:cs="Times New Roman"/>
          <w:sz w:val="24"/>
          <w:szCs w:val="24"/>
          <w:highlight w:val="none"/>
        </w:rPr>
        <w:t xml:space="preserve">Nous</w:t>
      </w:r>
      <w:r>
        <w:rPr>
          <w:rFonts w:ascii="Times New Roman" w:hAnsi="Times New Roman" w:eastAsia="Times New Roman" w:cs="Times New Roman"/>
          <w:sz w:val="24"/>
          <w:szCs w:val="24"/>
          <w:highlight w:val="none"/>
        </w:rPr>
        <w:t xml:space="preserve"> avons acheter 2 choses : </w:t>
      </w:r>
      <w:r>
        <w:rPr>
          <w:rFonts w:ascii="Times New Roman" w:hAnsi="Times New Roman" w:eastAsia="Times New Roman" w:cs="Times New Roman"/>
          <w:sz w:val="24"/>
          <w:szCs w:val="24"/>
          <w:highlight w:val="none"/>
        </w:rPr>
      </w:r>
      <w:r>
        <w:rPr>
          <w:rFonts w:ascii="Times New Roman" w:hAnsi="Times New Roman" w:eastAsia="Times New Roman" w:cs="Times New Roman"/>
          <w:sz w:val="24"/>
          <w:szCs w:val="24"/>
          <w:highlight w:val="none"/>
        </w:rPr>
      </w:r>
    </w:p>
    <w:p w14:paraId="1CCF8845">
      <w:pPr>
        <w:pStyle w:val="914"/>
        <w:numPr>
          <w:ilvl w:val="0"/>
          <w:numId w:val="12"/>
        </w:numPr>
        <w:pBdr>
          <w:top w:val="none" w:color="000000" w:sz="4" w:space="0"/>
          <w:left w:val="none" w:color="000000" w:sz="4" w:space="0"/>
          <w:bottom w:val="none" w:color="000000" w:sz="4" w:space="0"/>
          <w:right w:val="none" w:color="000000" w:sz="4" w:space="0"/>
        </w:pBdr>
        <w:spacing/>
        <w:ind w:right="0"/>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Une valise/sac de transport d’ordinateurs avec recharge intégré afin de partir en animation, ou de faciliter le transport lors des interventions des bénévoles</w:t>
      </w:r>
      <w:r>
        <w:rPr>
          <w:rFonts w:ascii="Times New Roman" w:hAnsi="Times New Roman" w:cs="Times New Roman"/>
          <w:sz w:val="24"/>
          <w:szCs w:val="24"/>
        </w:rPr>
      </w:r>
      <w:r>
        <w:rPr>
          <w:rFonts w:ascii="Times New Roman" w:hAnsi="Times New Roman" w:cs="Times New Roman"/>
          <w:sz w:val="24"/>
          <w:szCs w:val="24"/>
        </w:rPr>
      </w:r>
    </w:p>
    <w:p w14:paraId="392C451B">
      <w:pPr>
        <w:pStyle w:val="914"/>
        <w:numPr>
          <w:ilvl w:val="0"/>
          <w:numId w:val="12"/>
        </w:numPr>
        <w:pBdr>
          <w:top w:val="none" w:color="000000" w:sz="4" w:space="0"/>
          <w:left w:val="none" w:color="000000" w:sz="4" w:space="0"/>
          <w:bottom w:val="none" w:color="000000" w:sz="4" w:space="0"/>
          <w:right w:val="none" w:color="000000" w:sz="4" w:space="0"/>
        </w:pBdr>
        <w:spacing/>
        <w:ind w:right="0"/>
        <w:rPr>
          <w:rFonts w:ascii="Times New Roman" w:hAnsi="Times New Roman" w:cs="Times New Roman"/>
          <w:sz w:val="24"/>
          <w:szCs w:val="24"/>
        </w:rPr>
      </w:pPr>
      <w:r>
        <w:rPr>
          <w:rFonts w:ascii="Times New Roman" w:hAnsi="Times New Roman" w:eastAsia="Times New Roman" w:cs="Times New Roman"/>
          <w:sz w:val="24"/>
          <w:szCs w:val="24"/>
          <w:highlight w:val="none"/>
        </w:rPr>
        <w:t xml:space="preserve">Un chariot de transport qui servira également à transporter du matériel numérique lors des animations ou des interventions des bénévoles</w:t>
      </w:r>
      <w:r>
        <w:rPr>
          <w:rFonts w:ascii="Times New Roman" w:hAnsi="Times New Roman" w:cs="Times New Roman"/>
          <w:sz w:val="24"/>
          <w:szCs w:val="24"/>
        </w:rPr>
      </w:r>
      <w:r>
        <w:rPr>
          <w:rFonts w:ascii="Times New Roman" w:hAnsi="Times New Roman" w:cs="Times New Roman"/>
          <w:sz w:val="24"/>
          <w:szCs w:val="24"/>
        </w:rPr>
      </w:r>
    </w:p>
    <w:p w14:paraId="7C080DF1">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Écart par rapport à l’objectif initial</w:t>
      </w:r>
      <w:r/>
    </w:p>
    <w:p w14:paraId="58B54F2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L’objectif prévisionnel était de réaliser 20 interventions auprès de 15 foyers. Le nombre de foyers accompagnés officiellement reste donc inférieur à l’objectif.</w:t>
      </w:r>
      <w:r/>
    </w:p>
    <w:p w14:paraId="737DAE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Cet écart s’explique principalement par une phase de préparation plus longue que prévu. Le dispositif était nouveau et nécessitait de prendre le temps de mobiliser les bénévoles, de sécuriser les interventions et de définir une organisation adaptée.</w:t>
      </w:r>
      <w:r/>
    </w:p>
    <w:p w14:paraId="6E94ED8A">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L’achat des équipements de transport a également été engagé plus tardivement, ce qui a limité la capacité à déployer rapidement les interventions.</w:t>
      </w:r>
      <w:r/>
    </w:p>
    <w:p w14:paraId="12D8451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faible nombre d’interventions ne remet toutefois pas en cause la pertinence du projet. Les premières expériences ont permis de tester le fonctionnement en binôme et de confirmer l’intérêt des habitants.</w:t>
      </w:r>
      <w:r/>
    </w:p>
    <w:p w14:paraId="37522A96">
      <w:pPr>
        <w:pStyle w:val="852"/>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36"/>
        </w:rPr>
        <w:t xml:space="preserve">Perspectives</w:t>
      </w:r>
      <w:r/>
    </w:p>
    <w:p w14:paraId="403854C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L’expérimentation sera poursuivie la saison prochaine.</w:t>
      </w:r>
      <w:r/>
    </w:p>
    <w:p w14:paraId="18AB64D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matériel acheté permettra de faciliter les déplacements et de proposer des interventions dans de meilleures conditions.</w:t>
      </w:r>
      <w:r/>
    </w:p>
    <w:p w14:paraId="0297E6B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La prochaine étape sera de :</w:t>
      </w:r>
      <w:r/>
    </w:p>
    <w:p w14:paraId="4E4A4D3F">
      <w:pPr>
        <w:pStyle w:val="914"/>
        <w:numPr>
          <w:ilvl w:val="0"/>
          <w:numId w:val="9"/>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mieux faire connaître le service ;</w:t>
      </w:r>
      <w:r/>
    </w:p>
    <w:p w14:paraId="17DE0B7D">
      <w:pPr>
        <w:pStyle w:val="914"/>
        <w:numPr>
          <w:ilvl w:val="0"/>
          <w:numId w:val="9"/>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préciser les types de demandes pouvant être prises en charge ;</w:t>
      </w:r>
      <w:r/>
    </w:p>
    <w:p w14:paraId="13E967C6">
      <w:pPr>
        <w:pStyle w:val="914"/>
        <w:numPr>
          <w:ilvl w:val="0"/>
          <w:numId w:val="9"/>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mettre en place une procédure simple de demande d’intervention ;</w:t>
      </w:r>
      <w:r/>
    </w:p>
    <w:p w14:paraId="2CF42551">
      <w:pPr>
        <w:pStyle w:val="914"/>
        <w:numPr>
          <w:ilvl w:val="0"/>
          <w:numId w:val="9"/>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continuer à intervenir en binôme ;</w:t>
      </w:r>
      <w:r/>
    </w:p>
    <w:p w14:paraId="0056027E">
      <w:pPr>
        <w:pStyle w:val="914"/>
        <w:numPr>
          <w:ilvl w:val="0"/>
          <w:numId w:val="9"/>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organiser un suivi des foyers accompagnés ;</w:t>
      </w:r>
      <w:r/>
    </w:p>
    <w:p w14:paraId="3F1C7A27">
      <w:pPr>
        <w:pStyle w:val="914"/>
        <w:numPr>
          <w:ilvl w:val="0"/>
          <w:numId w:val="9"/>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recueillir les retours des habitants et des bénévoles ;</w:t>
      </w:r>
      <w:r/>
    </w:p>
    <w:p w14:paraId="19E4484D">
      <w:pPr>
        <w:pStyle w:val="914"/>
        <w:numPr>
          <w:ilvl w:val="0"/>
          <w:numId w:val="9"/>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évaluer progressivement la capacité du groupe à répondre aux demandes.</w:t>
      </w:r>
      <w:r/>
    </w:p>
    <w:p w14:paraId="50B0C0EC">
      <w:pPr>
        <w:pStyle w:val="851"/>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48"/>
        </w:rPr>
        <w:t xml:space="preserve">6. Bilan qualitatif global</w:t>
      </w:r>
      <w:r/>
    </w:p>
    <w:p w14:paraId="1BEF3DA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projet a contribué à créer une dynamique locale autour du numérique libre et responsable.</w:t>
      </w:r>
      <w:r/>
    </w:p>
    <w:p w14:paraId="4C57B70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trois axes ont permis de proposer différents niveaux d’accompagnement :</w:t>
      </w:r>
      <w:r/>
    </w:p>
    <w:p w14:paraId="2F1E78F1">
      <w:pPr>
        <w:pStyle w:val="914"/>
        <w:numPr>
          <w:ilvl w:val="0"/>
          <w:numId w:val="10"/>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une sensibilisation collective avec Libre en fête ;</w:t>
      </w:r>
      <w:r/>
    </w:p>
    <w:p w14:paraId="007930B4">
      <w:pPr>
        <w:pStyle w:val="914"/>
        <w:numPr>
          <w:ilvl w:val="0"/>
          <w:numId w:val="10"/>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un accompagnement régulier avec les permanences du GULL ;</w:t>
      </w:r>
      <w:r/>
    </w:p>
    <w:p w14:paraId="6EFD2737">
      <w:pPr>
        <w:pStyle w:val="914"/>
        <w:numPr>
          <w:ilvl w:val="0"/>
          <w:numId w:val="10"/>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une aide personnalisée avec les interventions à domicile.</w:t>
      </w:r>
      <w:r/>
    </w:p>
    <w:p w14:paraId="19BD7AE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La mobilisation d’une dizaine de bénévoles constitue un résultat important. Elle montre que le projet ne repose pas uniquement sur l’intervention des professionnels du Centre Social, mais également sur une logique d’entraide entre habitants.</w:t>
      </w:r>
      <w:r/>
    </w:p>
    <w:p w14:paraId="110F3AC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projet a aussi permis de répondre à une actualité importante : la fin du support de Windows 10. Cette évolution a rendu les enjeux du logiciel libre plus concrets pour les habitants, notamment concernant le coût du renouvellement du matériel, la durée d</w:t>
      </w:r>
      <w:r>
        <w:rPr>
          <w:rFonts w:ascii="Times New Roman" w:hAnsi="Times New Roman" w:eastAsia="Times New Roman" w:cs="Times New Roman"/>
          <w:color w:val="000000"/>
          <w:sz w:val="24"/>
        </w:rPr>
        <w:t xml:space="preserve">e vie des ordinateurs et la réduction des déchets électroniques.</w:t>
      </w:r>
      <w:r/>
    </w:p>
    <w:p w14:paraId="29C2BA4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principales limites concernent la difficulté à toucher des personnes totalement éloignées de la culture libre et le temps nécessaire pour structurer un nouveau service d’intervention à domicile.</w:t>
      </w:r>
      <w:r/>
    </w:p>
    <w:p w14:paraId="72CB9194">
      <w:pPr>
        <w:pStyle w:val="851"/>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48"/>
        </w:rPr>
        <w:t xml:space="preserve">7. Conclusion et perspectives générales</w:t>
      </w:r>
      <w:r/>
    </w:p>
    <w:p w14:paraId="0F61DCA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Cette première année a permis de poser les bases d’un projet durable autour des logiciels libres, de l’entraide et du réemploi informatique sur le territoire de Chemillé-en-Anjou.</w:t>
      </w:r>
      <w:r/>
    </w:p>
    <w:p w14:paraId="4DDEED6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Libre en fête a atteint son objectif de fréquentation avec </w:t>
      </w:r>
      <w:r>
        <w:rPr>
          <w:rFonts w:ascii="Times New Roman" w:hAnsi="Times New Roman" w:eastAsia="Times New Roman" w:cs="Times New Roman"/>
          <w:b/>
          <w:color w:val="000000"/>
          <w:sz w:val="24"/>
        </w:rPr>
        <w:t xml:space="preserve">55 participants différents</w:t>
      </w:r>
      <w:r>
        <w:rPr>
          <w:rFonts w:ascii="Times New Roman" w:hAnsi="Times New Roman" w:eastAsia="Times New Roman" w:cs="Times New Roman"/>
          <w:color w:val="000000"/>
          <w:sz w:val="24"/>
        </w:rPr>
        <w:t xml:space="preserve">. Les permanences du GULL ont permis d’installer Linux sur une vingtaine d’ordinateurs et de structurer un groupe d’une dizaine de bénévoles. Les premières interventions à domicile ont confirmé l’intérêt du service, même si son déploiement reste encore à c</w:t>
      </w:r>
      <w:r>
        <w:rPr>
          <w:rFonts w:ascii="Times New Roman" w:hAnsi="Times New Roman" w:eastAsia="Times New Roman" w:cs="Times New Roman"/>
          <w:color w:val="000000"/>
          <w:sz w:val="24"/>
        </w:rPr>
        <w:t xml:space="preserve">onsolider.</w:t>
      </w:r>
      <w:r/>
    </w:p>
    <w:p w14:paraId="685220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trois axes seront poursuivis la saison prochaine.</w:t>
      </w:r>
      <w:r/>
    </w:p>
    <w:p w14:paraId="54850FE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Les priorités seront de :</w:t>
      </w:r>
      <w:r/>
    </w:p>
    <w:p w14:paraId="7561C293">
      <w:pPr>
        <w:pStyle w:val="914"/>
        <w:numPr>
          <w:ilvl w:val="0"/>
          <w:numId w:val="11"/>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mieux communiquer auprès du grand public ;</w:t>
      </w:r>
      <w:r/>
    </w:p>
    <w:p w14:paraId="3A9909D3">
      <w:pPr>
        <w:pStyle w:val="914"/>
        <w:numPr>
          <w:ilvl w:val="0"/>
          <w:numId w:val="11"/>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consolider l’organisation du GULL ;</w:t>
      </w:r>
      <w:r/>
    </w:p>
    <w:p w14:paraId="08C45628">
      <w:pPr>
        <w:pStyle w:val="914"/>
        <w:numPr>
          <w:ilvl w:val="0"/>
          <w:numId w:val="11"/>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poursuivre l’accompagnement lié à la fin de Windows 10 ;</w:t>
      </w:r>
      <w:r/>
    </w:p>
    <w:p w14:paraId="6402C2AC">
      <w:pPr>
        <w:pStyle w:val="914"/>
        <w:numPr>
          <w:ilvl w:val="0"/>
          <w:numId w:val="11"/>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développer progressivement les interventions à domicile ;</w:t>
      </w:r>
      <w:r/>
    </w:p>
    <w:p w14:paraId="154939F3">
      <w:pPr>
        <w:pStyle w:val="914"/>
        <w:numPr>
          <w:ilvl w:val="0"/>
          <w:numId w:val="11"/>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utiliser les nouveaux équipements pour sécuriser le transport du matériel ;</w:t>
      </w:r>
      <w:r/>
    </w:p>
    <w:p w14:paraId="58DC8C53">
      <w:pPr>
        <w:pStyle w:val="914"/>
        <w:numPr>
          <w:ilvl w:val="0"/>
          <w:numId w:val="11"/>
        </w:numPr>
        <w:pBdr>
          <w:top w:val="none" w:color="000000" w:sz="4" w:space="0"/>
          <w:left w:val="none" w:color="000000" w:sz="4" w:space="0"/>
          <w:bottom w:val="none" w:color="000000" w:sz="4" w:space="0"/>
          <w:right w:val="none" w:color="000000" w:sz="4" w:space="0"/>
        </w:pBdr>
        <w:spacing/>
        <w:ind w:right="0"/>
        <w:rPr/>
      </w:pPr>
      <w:r>
        <w:rPr>
          <w:rFonts w:ascii="Times New Roman" w:hAnsi="Times New Roman" w:eastAsia="Times New Roman" w:cs="Times New Roman"/>
          <w:color w:val="000000"/>
          <w:sz w:val="24"/>
        </w:rPr>
        <w:t xml:space="preserve">améliorer le suivi chiffré des participants, des installations et des interventions.</w:t>
      </w:r>
      <w:r/>
    </w:p>
    <w:p w14:paraId="7BC7496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4"/>
        </w:rPr>
        <w:t xml:space="preserve">Le projet a ainsi permis de renforcer une approche du numérique fondée sur la proximité, l’autonomie, le partage des connaissances et la prolongation de la durée de vie des équipements.</w:t>
      </w:r>
      <w:r/>
    </w:p>
    <w:p w14:paraId="3FA7833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4"/>
        </w:rPr>
        <w:t xml:space="preserve">La partie budgétaire restera à compléter une fois les achats de malles, de matériel informatique et de systèmes de transport réalisés et les dépenses définitives connues.</w:t>
      </w:r>
      <w:r/>
    </w:p>
    <w:p w14:paraId="2CE9629F">
      <w:pPr>
        <w:pStyle w:val="851"/>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48"/>
        </w:rPr>
        <w:t xml:space="preserve">8. Remerciements</w:t>
      </w:r>
      <w:r/>
    </w:p>
    <w:p w14:paraId="4A097D9D">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4"/>
          <w:szCs w:val="24"/>
        </w:rPr>
      </w:pPr>
      <w:r>
        <w:rPr>
          <w:rFonts w:ascii="Times New Roman" w:hAnsi="Times New Roman" w:eastAsia="Times New Roman" w:cs="Times New Roman"/>
          <w:sz w:val="24"/>
          <w:szCs w:val="24"/>
        </w:rPr>
        <w:t xml:space="preserve">Nous tenons à remercier les différents partenaires qui ont rendu ces projets possibles ! </w:t>
      </w:r>
      <w:r>
        <w:rPr>
          <w:rFonts w:ascii="Times New Roman" w:hAnsi="Times New Roman" w:cs="Times New Roman"/>
          <w:sz w:val="24"/>
          <w:szCs w:val="24"/>
        </w:rPr>
      </w:r>
      <w:r>
        <w:rPr>
          <w:rFonts w:ascii="Times New Roman" w:hAnsi="Times New Roman" w:cs="Times New Roman"/>
          <w:sz w:val="24"/>
          <w:szCs w:val="24"/>
        </w:rPr>
      </w:r>
    </w:p>
    <w:p w14:paraId="59ACB37E">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4"/>
          <w:szCs w:val="24"/>
          <w:highlight w:val="none"/>
        </w:rPr>
      </w:pPr>
      <w:r>
        <w:rPr>
          <w:rFonts w:ascii="Times New Roman" w:hAnsi="Times New Roman" w:eastAsia="Times New Roman" w:cs="Times New Roman"/>
          <w:sz w:val="24"/>
          <w:szCs w:val="24"/>
        </w:rPr>
        <w:t xml:space="preserve">Ces projets ont été financé par : la Mednum 49, la CAF, la MSA, l'Assurance Maladie et Anjou Numérique</w:t>
      </w:r>
      <w:r>
        <w:rPr>
          <w:rFonts w:ascii="Times New Roman" w:hAnsi="Times New Roman" w:cs="Times New Roman"/>
          <w:sz w:val="24"/>
          <w:szCs w:val="24"/>
        </w:rPr>
      </w:r>
      <w:r>
        <w:rPr>
          <w:rFonts w:ascii="Times New Roman" w:hAnsi="Times New Roman" w:cs="Times New Roman"/>
          <w:sz w:val="24"/>
          <w:szCs w:val="24"/>
        </w:rPr>
      </w:r>
    </w:p>
    <w:p w14:paraId="4FF91859">
      <w:pPr>
        <w:pBdr>
          <w:top w:val="none" w:color="000000" w:sz="4" w:space="0"/>
          <w:left w:val="none" w:color="000000" w:sz="4" w:space="0"/>
          <w:bottom w:val="none" w:color="000000" w:sz="4" w:space="0"/>
          <w:right w:val="none" w:color="000000" w:sz="4" w:space="0"/>
        </w:pBdr>
        <w:spacing/>
        <w:ind w:right="0" w:firstLine="0" w:left="0"/>
        <w:rPr>
          <w:rFonts w:ascii="Times New Roman" w:hAnsi="Times New Roman" w:cs="Times New Roman"/>
          <w:sz w:val="24"/>
          <w:szCs w:val="24"/>
        </w:rPr>
      </w:pPr>
      <w:r>
        <w:rPr>
          <w:rFonts w:ascii="Times New Roman" w:hAnsi="Times New Roman" w:cs="Times New Roman"/>
          <w:sz w:val="24"/>
          <w:szCs w:val="24"/>
          <w:highlight w:val="none"/>
        </w:rPr>
        <mc:AlternateContent>
          <mc:Choice Requires="wpg">
            <w:drawing>
              <wp:inline xmlns:wp="http://schemas.openxmlformats.org/drawingml/2006/wordprocessingDrawing" distT="0" distB="0" distL="0" distR="0">
                <wp:extent cx="1009791" cy="1624140"/>
                <wp:effectExtent l="0" t="0" r="0" b="0"/>
                <wp:docPr id="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587953" name=""/>
                        <pic:cNvPicPr>
                          <a:picLocks noChangeAspect="1"/>
                        </pic:cNvPicPr>
                        <pic:nvPr/>
                      </pic:nvPicPr>
                      <pic:blipFill rotWithShape="1">
                        <a:blip r:embed="rId9"/>
                        <a:stretch/>
                      </pic:blipFill>
                      <pic:spPr bwMode="auto">
                        <a:xfrm flipH="0" flipV="0">
                          <a:off x="0" y="0"/>
                          <a:ext cx="1009791" cy="162414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79.51pt;height:127.89pt;mso-wrap-distance-left:0.00pt;mso-wrap-distance-top:0.00pt;mso-wrap-distance-right:0.00pt;mso-wrap-distance-bottom:0.00pt;z-index:1;" stroked="false">
                <v:imagedata r:id="rId9" o:title=""/>
                <o:lock v:ext="edit" rotation="t"/>
              </v:shape>
            </w:pict>
          </mc:Fallback>
        </mc:AlternateContent>
        <mc:AlternateContent>
          <mc:Choice Requires="wpg">
            <w:drawing>
              <wp:inline xmlns:wp="http://schemas.openxmlformats.org/drawingml/2006/wordprocessingDrawing" distT="0" distB="0" distL="0" distR="0">
                <wp:extent cx="2046015" cy="630023"/>
                <wp:effectExtent l="0" t="0" r="0" b="0"/>
                <wp:docPr id="2"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4915003" name=""/>
                        <pic:cNvPicPr>
                          <a:picLocks noChangeAspect="1"/>
                        </pic:cNvPicPr>
                        <pic:nvPr/>
                      </pic:nvPicPr>
                      <pic:blipFill rotWithShape="1">
                        <a:blip r:embed="rId10"/>
                        <a:stretch/>
                      </pic:blipFill>
                      <pic:spPr bwMode="auto">
                        <a:xfrm flipH="0" flipV="0">
                          <a:off x="0" y="0"/>
                          <a:ext cx="2046015" cy="63002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61.10pt;height:49.61pt;mso-wrap-distance-left:0.00pt;mso-wrap-distance-top:0.00pt;mso-wrap-distance-right:0.00pt;mso-wrap-distance-bottom:0.00pt;z-index:1;" stroked="false">
                <v:imagedata r:id="rId10" o:title=""/>
                <o:lock v:ext="edit" rotation="t"/>
              </v:shape>
            </w:pict>
          </mc:Fallback>
        </mc:AlternateContent>
        <mc:AlternateContent>
          <mc:Choice Requires="wpg">
            <w:drawing>
              <wp:inline xmlns:wp="http://schemas.openxmlformats.org/drawingml/2006/wordprocessingDrawing" distT="0" distB="0" distL="0" distR="0">
                <wp:extent cx="1779315" cy="1110853"/>
                <wp:effectExtent l="0" t="0" r="0" b="0"/>
                <wp:docPr id="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5665867" name=""/>
                        <pic:cNvPicPr>
                          <a:picLocks noChangeAspect="1"/>
                        </pic:cNvPicPr>
                        <pic:nvPr/>
                      </pic:nvPicPr>
                      <pic:blipFill rotWithShape="1">
                        <a:blip r:embed="rId11"/>
                        <a:stretch/>
                      </pic:blipFill>
                      <pic:spPr bwMode="auto">
                        <a:xfrm flipH="0" flipV="0">
                          <a:off x="0" y="0"/>
                          <a:ext cx="1779314" cy="1110852"/>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140.10pt;height:87.47pt;mso-wrap-distance-left:0.00pt;mso-wrap-distance-top:0.00pt;mso-wrap-distance-right:0.00pt;mso-wrap-distance-bottom:0.00pt;z-index:1;" stroked="false">
                <v:imagedata r:id="rId11" o:title=""/>
                <o:lock v:ext="edit" rotation="t"/>
              </v:shape>
            </w:pict>
          </mc:Fallback>
        </mc:AlternateContent>
        <mc:AlternateContent>
          <mc:Choice Requires="wpg">
            <w:drawing>
              <wp:inline xmlns:wp="http://schemas.openxmlformats.org/drawingml/2006/wordprocessingDrawing" distT="0" distB="0" distL="0" distR="0">
                <wp:extent cx="1009791" cy="1009791"/>
                <wp:effectExtent l="0" t="0" r="0" b="0"/>
                <wp:docPr id="4"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118175" name=""/>
                        <pic:cNvPicPr>
                          <a:picLocks noChangeAspect="1"/>
                        </pic:cNvPicPr>
                        <pic:nvPr/>
                      </pic:nvPicPr>
                      <pic:blipFill rotWithShape="1">
                        <a:blip r:embed="rId12"/>
                        <a:stretch/>
                      </pic:blipFill>
                      <pic:spPr bwMode="auto">
                        <a:xfrm flipH="0" flipV="0">
                          <a:off x="0" y="0"/>
                          <a:ext cx="1009791" cy="100979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79.51pt;height:79.51pt;mso-wrap-distance-left:0.00pt;mso-wrap-distance-top:0.00pt;mso-wrap-distance-right:0.00pt;mso-wrap-distance-bottom:0.00pt;z-index:1;" stroked="false">
                <v:imagedata r:id="rId12" o:title=""/>
                <o:lock v:ext="edit" rotation="t"/>
              </v:shape>
            </w:pict>
          </mc:Fallback>
        </mc:AlternateContent>
        <mc:AlternateContent>
          <mc:Choice Requires="wpg">
            <w:drawing>
              <wp:inline xmlns:wp="http://schemas.openxmlformats.org/drawingml/2006/wordprocessingDrawing" distT="0" distB="0" distL="0" distR="0">
                <wp:extent cx="1626915" cy="581277"/>
                <wp:effectExtent l="0" t="0" r="0" b="0"/>
                <wp:docPr id="5"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893729" name=""/>
                        <pic:cNvPicPr>
                          <a:picLocks noChangeAspect="1"/>
                        </pic:cNvPicPr>
                        <pic:nvPr/>
                      </pic:nvPicPr>
                      <pic:blipFill rotWithShape="1">
                        <a:blip r:embed="rId13"/>
                        <a:stretch/>
                      </pic:blipFill>
                      <pic:spPr bwMode="auto">
                        <a:xfrm flipH="0" flipV="0">
                          <a:off x="0" y="0"/>
                          <a:ext cx="1626914" cy="581277"/>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128.10pt;height:45.77pt;mso-wrap-distance-left:0.00pt;mso-wrap-distance-top:0.00pt;mso-wrap-distance-right:0.00pt;mso-wrap-distance-bottom:0.00pt;z-index:1;" stroked="false">
                <v:imagedata r:id="rId13" o:title=""/>
                <o:lock v:ext="edit" rotation="t"/>
              </v:shape>
            </w:pict>
          </mc:Fallback>
        </mc:AlternateContent>
      </w:r>
      <w:r>
        <w:rPr>
          <w:rFonts w:ascii="Times New Roman" w:hAnsi="Times New Roman" w:cs="Times New Roman"/>
          <w:sz w:val="24"/>
          <w:szCs w:val="24"/>
          <w:highlight w:val="none"/>
        </w:rPr>
      </w:r>
      <w:r>
        <w:rPr>
          <w:rFonts w:ascii="Times New Roman" w:hAnsi="Times New Roman" w:cs="Times New Roman"/>
          <w:sz w:val="24"/>
          <w:szCs w:val="24"/>
          <w:highlight w:val="none"/>
        </w:rPr>
      </w:r>
    </w:p>
    <w:p>
      <w:pPr>
        <w:pBdr/>
        <w:spacing/>
        <w:ind/>
        <w:rPr/>
      </w:pPr>
      <w:r/>
      <w:r/>
    </w:p>
    <w:sectPr>
      <w:footnotePr/>
      <w:endnotePr/>
      <w:type w:val="nextPage"/>
      <w:pgSz w:h="16838" w:orient="portrait" w:w="11906"/>
      <w:pgMar w:top="1134" w:right="850" w:bottom="1134" w:left="1701"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after="0" w:line="240" w:lineRule="auto"/>
        <w:ind/>
        <w:rPr/>
      </w:pPr>
      <w:r>
        <w:separator/>
      </w:r>
      <w:r/>
    </w:p>
  </w:endnote>
  <w:endnote w:type="continuationSeparator" w:id="0">
    <w:p>
      <w:pPr>
        <w:pBdr/>
        <w:spacing w:after="0" w:line="240" w:lineRule="auto"/>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font>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after="0" w:line="240" w:lineRule="auto"/>
        <w:ind/>
        <w:rPr/>
      </w:pPr>
      <w:r>
        <w:separator/>
      </w:r>
      <w:r/>
    </w:p>
  </w:footnote>
  <w:footnote w:type="continuationSeparator" w:id="0">
    <w:p>
      <w:pPr>
        <w:pBdr/>
        <w:spacing w:after="0" w:line="240" w:lineRule="auto"/>
        <w:ind/>
        <w:rPr/>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E498C"/>
    <w:lvl w:ilvl="0">
      <w:isLgl w:val="false"/>
      <w:lvlJc w:val="right"/>
      <w:lvlText w:val="%1."/>
      <w:numFmt w:val="decimal"/>
      <w:pPr>
        <w:pBdr/>
        <w:spacing/>
        <w:ind w:hanging="360" w:left="709"/>
      </w:pPr>
      <w:rPr/>
      <w:start w:val="1"/>
      <w:suff w:val="tab"/>
    </w:lvl>
    <w:lvl w:ilvl="1">
      <w:isLgl w:val="false"/>
      <w:lvlJc w:val="right"/>
      <w:lvlText w:val="%2."/>
      <w:numFmt w:val="decimal"/>
      <w:pPr>
        <w:pBdr/>
        <w:spacing/>
        <w:ind w:hanging="360" w:left="1429"/>
      </w:pPr>
      <w:rPr/>
      <w:start w:val="1"/>
      <w:suff w:val="tab"/>
    </w:lvl>
    <w:lvl w:ilvl="2">
      <w:isLgl w:val="false"/>
      <w:lvlJc w:val="right"/>
      <w:lvlText w:val="%3."/>
      <w:numFmt w:val="decimal"/>
      <w:pPr>
        <w:pBdr/>
        <w:spacing/>
        <w:ind w:hanging="360" w:left="2149"/>
      </w:pPr>
      <w:rPr/>
      <w:start w:val="1"/>
      <w:suff w:val="tab"/>
    </w:lvl>
    <w:lvl w:ilvl="3">
      <w:isLgl w:val="false"/>
      <w:lvlJc w:val="right"/>
      <w:lvlText w:val="%4."/>
      <w:numFmt w:val="decimal"/>
      <w:pPr>
        <w:pBdr/>
        <w:spacing/>
        <w:ind w:hanging="360" w:left="2869"/>
      </w:pPr>
      <w:rPr/>
      <w:start w:val="1"/>
      <w:suff w:val="tab"/>
    </w:lvl>
    <w:lvl w:ilvl="4">
      <w:isLgl w:val="false"/>
      <w:lvlJc w:val="right"/>
      <w:lvlText w:val="%5."/>
      <w:numFmt w:val="decimal"/>
      <w:pPr>
        <w:pBdr/>
        <w:spacing/>
        <w:ind w:hanging="360" w:left="3589"/>
      </w:pPr>
      <w:rPr/>
      <w:start w:val="1"/>
      <w:suff w:val="tab"/>
    </w:lvl>
    <w:lvl w:ilvl="5">
      <w:isLgl w:val="false"/>
      <w:lvlJc w:val="right"/>
      <w:lvlText w:val="%6."/>
      <w:numFmt w:val="decimal"/>
      <w:pPr>
        <w:pBdr/>
        <w:spacing/>
        <w:ind w:hanging="360" w:left="4309"/>
      </w:pPr>
      <w:rPr/>
      <w:start w:val="1"/>
      <w:suff w:val="tab"/>
    </w:lvl>
    <w:lvl w:ilvl="6">
      <w:isLgl w:val="false"/>
      <w:lvlJc w:val="right"/>
      <w:lvlText w:val="%7."/>
      <w:numFmt w:val="decimal"/>
      <w:pPr>
        <w:pBdr/>
        <w:spacing/>
        <w:ind w:hanging="360" w:left="5029"/>
      </w:pPr>
      <w:rPr/>
      <w:start w:val="1"/>
      <w:suff w:val="tab"/>
    </w:lvl>
    <w:lvl w:ilvl="7">
      <w:isLgl w:val="false"/>
      <w:lvlJc w:val="right"/>
      <w:lvlText w:val="%8."/>
      <w:numFmt w:val="decimal"/>
      <w:pPr>
        <w:pBdr/>
        <w:spacing/>
        <w:ind w:hanging="360" w:left="5749"/>
      </w:pPr>
      <w:rPr/>
      <w:start w:val="1"/>
      <w:suff w:val="tab"/>
    </w:lvl>
    <w:lvl w:ilvl="8">
      <w:isLgl w:val="false"/>
      <w:lvlJc w:val="right"/>
      <w:lvlText w:val="%9."/>
      <w:numFmt w:val="decimal"/>
      <w:pPr>
        <w:pBdr/>
        <w:spacing/>
        <w:ind w:hanging="360" w:left="6469"/>
      </w:pPr>
      <w:rPr/>
      <w:start w:val="1"/>
      <w:suff w:val="tab"/>
    </w:lvl>
  </w:abstractNum>
  <w:abstractNum w:abstractNumId="1">
    <w:nsid w:val="6D5FCE1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2">
    <w:nsid w:val="57B50AF0"/>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3">
    <w:nsid w:val="43DAE539"/>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
    <w:nsid w:val="7C207B2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5">
    <w:nsid w:val="57168AB1"/>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6">
    <w:nsid w:val="2223D89B"/>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7">
    <w:nsid w:val="3E7B38F3"/>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8">
    <w:nsid w:val="675B485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9">
    <w:nsid w:val="7511DB2C"/>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10">
    <w:nsid w:val="264A210F"/>
    <w:lvl w:ilvl="0">
      <w:isLgl w:val="false"/>
      <w:lvlJc w:val="left"/>
      <w:lvlText w:val="·"/>
      <w:numFmt w:val="bullet"/>
      <w:pPr>
        <w:pBdr/>
        <w:spacing/>
        <w:ind w:hanging="360" w:left="709"/>
      </w:pPr>
      <w:rPr>
        <w:rFonts w:hint="default" w:ascii="Symbol" w:hAnsi="Symbol" w:eastAsia="Symbol" w:cs="Symbo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11">
    <w:nsid w:val="28584E3E"/>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fr-FR"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725">
    <w:name w:val="Table Grid"/>
    <w:basedOn w:val="911"/>
    <w:uiPriority w:val="59"/>
    <w:pPr>
      <w:pBdr/>
      <w:spacing w:after="0" w:line="240" w:lineRule="auto"/>
      <w:ind/>
    </w:pPr>
    <w:tblPr>
      <w:tblInd w:w="0" w:type="dxa"/>
      <w:tblCellMar>
        <w:left w:w="108" w:type="dxa"/>
        <w:top w:w="0" w:type="dxa"/>
        <w:right w:w="108" w:type="dxa"/>
        <w:bottom w:w="0" w:type="dxa"/>
      </w:tblCellMa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6">
    <w:name w:val="Table Grid Light"/>
    <w:basedOn w:val="9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7">
    <w:name w:val="Plain Table 1"/>
    <w:basedOn w:val="911"/>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8">
    <w:name w:val="Plain Table 2"/>
    <w:basedOn w:val="911"/>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9">
    <w:name w:val="Plain Table 3"/>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0">
    <w:name w:val="Plain Table 4"/>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1">
    <w:name w:val="Plain Table 5"/>
    <w:basedOn w:val="911"/>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2">
    <w:name w:val="Grid Table 1 Light"/>
    <w:basedOn w:val="911"/>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3">
    <w:name w:val="Grid Table 1 Light - Accent 1"/>
    <w:basedOn w:val="9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4">
    <w:name w:val="Grid Table 1 Light - Accent 2"/>
    <w:basedOn w:val="9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5">
    <w:name w:val="Grid Table 1 Light - Accent 3"/>
    <w:basedOn w:val="9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6">
    <w:name w:val="Grid Table 1 Light - Accent 4"/>
    <w:basedOn w:val="9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7">
    <w:name w:val="Grid Table 1 Light - Accent 5"/>
    <w:basedOn w:val="9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8">
    <w:name w:val="Grid Table 1 Light - Accent 6"/>
    <w:basedOn w:val="9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9">
    <w:name w:val="Grid Table 2"/>
    <w:basedOn w:val="9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0">
    <w:name w:val="Grid Table 2 - Accent 1"/>
    <w:basedOn w:val="9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1">
    <w:name w:val="Grid Table 2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2">
    <w:name w:val="Grid Table 2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3">
    <w:name w:val="Grid Table 2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4">
    <w:name w:val="Grid Table 2 - Accent 5"/>
    <w:basedOn w:val="9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5">
    <w:name w:val="Grid Table 2 - Accent 6"/>
    <w:basedOn w:val="9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6">
    <w:name w:val="Grid Table 3"/>
    <w:basedOn w:val="911"/>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7">
    <w:name w:val="Grid Table 3 - Accent 1"/>
    <w:basedOn w:val="911"/>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eebf6"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8">
    <w:name w:val="Grid Table 3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9">
    <w:name w:val="Grid Table 3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0">
    <w:name w:val="Grid Table 3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1">
    <w:name w:val="Grid Table 3 - Accent 5"/>
    <w:basedOn w:val="911"/>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2">
    <w:name w:val="Grid Table 3 - Accent 6"/>
    <w:basedOn w:val="911"/>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3">
    <w:name w:val="Grid Table 4"/>
    <w:basedOn w:val="911"/>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4">
    <w:name w:val="Grid Table 4 - Accent 1"/>
    <w:basedOn w:val="911"/>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febf7"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69a3d8"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Grid Table 4 - Accent 2"/>
    <w:basedOn w:val="911"/>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Grid Table 4 - Accent 3"/>
    <w:basedOn w:val="911"/>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Grid Table 4 - Accent 4"/>
    <w:basedOn w:val="911"/>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Grid Table 4 - Accent 5"/>
    <w:basedOn w:val="911"/>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Grid Table 4 - Accent 6"/>
    <w:basedOn w:val="911"/>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5 Dark"/>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5 Dark- Accent 1"/>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eebf6" w:themeFill="accent1" w:themeFillTint="34"/>
    </w:tblPr>
    <w:tcPr>
      <w:tcBorders/>
    </w:tcPr>
    <w:tblStylePr w:type="band1Horz">
      <w:pPr>
        <w:pBdr/>
        <w:spacing/>
        <w:ind/>
      </w:pPr>
      <w:tblPr>
        <w:tblBorders/>
      </w:tblPr>
      <w:tcPr>
        <w:shd w:val="clear" w:color="ffffff" w:themeColor="accent1" w:themeTint="75" w:fill="b4d1ec" w:themeFill="accent1" w:themeFillTint="75"/>
        <w:tcBorders/>
      </w:tcPr>
    </w:tblStylePr>
    <w:tblStylePr w:type="band1Vert">
      <w:pPr>
        <w:pBdr/>
        <w:spacing/>
        <w:ind/>
      </w:pPr>
      <w:tblPr>
        <w:tblBorders/>
      </w:tblPr>
      <w:tcPr>
        <w:shd w:val="clear" w:color="ffffff" w:themeColor="accent1" w:themeTint="75" w:fill="b4d1ec"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5b9bd5" w:themeFill="accent1"/>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rFonts w:ascii="Arial" w:hAnsi="Arial"/>
        <w:b/>
        <w:color w:val="ffffff"/>
        <w:sz w:val="22"/>
      </w:rPr>
      <w:pPr>
        <w:pBdr/>
        <w:spacing/>
        <w:ind/>
      </w:pPr>
      <w:tblPr>
        <w:tblBorders/>
      </w:tblPr>
      <w:tcPr>
        <w:shd w:val="clear" w:color="ffffff" w:themeColor="accent1" w:fill="5b9bd5" w:themeFill="accent1"/>
        <w:tcBorders/>
      </w:tcPr>
    </w:tblStylePr>
    <w:tblStylePr w:type="lastRow">
      <w:rPr>
        <w:rFonts w:ascii="Arial" w:hAnsi="Arial"/>
        <w:b/>
        <w:color w:val="ffffff"/>
        <w:sz w:val="22"/>
      </w:rPr>
      <w:pPr>
        <w:pBdr/>
        <w:spacing/>
        <w:ind/>
      </w:pPr>
      <w:tblPr>
        <w:tblBorders/>
      </w:tblPr>
      <w:tcPr>
        <w:shd w:val="clear" w:color="ffffff" w:themeColor="accent1" w:fill="5b9bd5"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5 Dark - Accent 2"/>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5 Dark - Accent 3"/>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5 Dark- Accent 4"/>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5 Dark - Accent 5"/>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9e2f3" w:themeFill="accent5" w:themeFillTint="34"/>
    </w:tblPr>
    <w:tcPr>
      <w:tcBorders/>
    </w:tcPr>
    <w:tblStylePr w:type="band1Horz">
      <w:pPr>
        <w:pBdr/>
        <w:spacing/>
        <w:ind/>
      </w:pPr>
      <w:tblPr>
        <w:tblBorders/>
      </w:tblPr>
      <w:tcPr>
        <w:shd w:val="clear" w:color="ffffff" w:themeColor="accent5" w:themeTint="75" w:fill="a9bee4" w:themeFill="accent5" w:themeFillTint="75"/>
        <w:tcBorders/>
      </w:tcPr>
    </w:tblStylePr>
    <w:tblStylePr w:type="band1Vert">
      <w:pPr>
        <w:pBdr/>
        <w:spacing/>
        <w:ind/>
      </w:pPr>
      <w:tblPr>
        <w:tblBorders/>
      </w:tblPr>
      <w:tcPr>
        <w:shd w:val="clear" w:color="ffffff" w:themeColor="accent5" w:themeTint="75" w:fill="a9bee4"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472c4" w:themeFill="accent5"/>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rFonts w:ascii="Arial" w:hAnsi="Arial"/>
        <w:b/>
        <w:color w:val="ffffff"/>
        <w:sz w:val="22"/>
      </w:rPr>
      <w:pPr>
        <w:pBdr/>
        <w:spacing/>
        <w:ind/>
      </w:pPr>
      <w:tblPr>
        <w:tblBorders/>
      </w:tblPr>
      <w:tcPr>
        <w:shd w:val="clear" w:color="ffffff" w:themeColor="accent5" w:fill="4472c4" w:themeFill="accent5"/>
        <w:tcBorders/>
      </w:tcPr>
    </w:tblStylePr>
    <w:tblStylePr w:type="lastRow">
      <w:rPr>
        <w:rFonts w:ascii="Arial" w:hAnsi="Arial"/>
        <w:b/>
        <w:color w:val="ffffff"/>
        <w:sz w:val="22"/>
      </w:rPr>
      <w:pPr>
        <w:pBdr/>
        <w:spacing/>
        <w:ind/>
      </w:pPr>
      <w:tblPr>
        <w:tblBorders/>
      </w:tblPr>
      <w:tcPr>
        <w:shd w:val="clear" w:color="ffffff" w:themeColor="accent5" w:fill="4472c4"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5 Dark - Accent 6"/>
    <w:basedOn w:val="911"/>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6 Colorful"/>
    <w:basedOn w:val="911"/>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68">
    <w:name w:val="Grid Table 6 Colorful - Accent 1"/>
    <w:basedOn w:val="911"/>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07abd" w:themeColor="accent1" w:themeTint="80" w:themeShade="95"/>
      </w:rPr>
      <w:pPr>
        <w:pBdr/>
        <w:spacing/>
        <w:ind/>
      </w:pPr>
      <w:tblPr>
        <w:tblBorders/>
      </w:tblPr>
      <w:tcPr>
        <w:tcBorders/>
      </w:tcPr>
    </w:tblStylePr>
    <w:tblStylePr w:type="firstRow">
      <w:rPr>
        <w:b/>
        <w:color w:val="307abd" w:themeColor="accent1" w:themeTint="80" w:themeShade="95"/>
      </w:rPr>
      <w:pPr>
        <w:pBdr/>
        <w:spacing/>
        <w:ind/>
      </w:pPr>
      <w:tblPr>
        <w:tblBorders/>
      </w:tblPr>
      <w:tcPr>
        <w:tcBorders>
          <w:bottom w:val="single" w:color="000000" w:themeColor="accent1" w:themeTint="80" w:sz="12" w:space="0"/>
        </w:tcBorders>
      </w:tcPr>
    </w:tblStylePr>
    <w:tblStylePr w:type="lastCol">
      <w:rPr>
        <w:b/>
        <w:color w:val="307abd" w:themeColor="accent1" w:themeTint="80" w:themeShade="95"/>
      </w:rPr>
      <w:pPr>
        <w:pBdr/>
        <w:spacing/>
        <w:ind/>
      </w:pPr>
      <w:tblPr>
        <w:tblBorders/>
      </w:tblPr>
      <w:tcPr>
        <w:tcBorders/>
      </w:tcPr>
    </w:tblStylePr>
    <w:tblStylePr w:type="lastRow">
      <w:rPr>
        <w:b/>
        <w:color w:val="307abd"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69">
    <w:name w:val="Grid Table 6 Colorful - Accent 2"/>
    <w:basedOn w:val="9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70">
    <w:name w:val="Grid Table 6 Colorful - Accent 3"/>
    <w:basedOn w:val="911"/>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16161" w:themeColor="accent3" w:themeTint="FE" w:themeShade="95"/>
      </w:rPr>
      <w:pPr>
        <w:pBdr/>
        <w:spacing/>
        <w:ind/>
      </w:pPr>
      <w:tblPr>
        <w:tblBorders/>
      </w:tblPr>
      <w:tcPr>
        <w:tcBorders/>
      </w:tcPr>
    </w:tblStylePr>
    <w:tblStylePr w:type="firstRow">
      <w:rPr>
        <w:b/>
        <w:color w:val="616161" w:themeColor="accent3" w:themeTint="FE" w:themeShade="95"/>
      </w:rPr>
      <w:pPr>
        <w:pBdr/>
        <w:spacing/>
        <w:ind/>
      </w:pPr>
      <w:tblPr>
        <w:tblBorders/>
      </w:tblPr>
      <w:tcPr>
        <w:tcBorders>
          <w:bottom w:val="single" w:color="000000" w:themeColor="accent3" w:themeTint="FE" w:sz="12" w:space="0"/>
        </w:tcBorders>
      </w:tcPr>
    </w:tblStylePr>
    <w:tblStylePr w:type="lastCol">
      <w:rPr>
        <w:b/>
        <w:color w:val="616161" w:themeColor="accent3" w:themeTint="FE" w:themeShade="95"/>
      </w:rPr>
      <w:pPr>
        <w:pBdr/>
        <w:spacing/>
        <w:ind/>
      </w:pPr>
      <w:tblPr>
        <w:tblBorders/>
      </w:tblPr>
      <w:tcPr>
        <w:tcBorders/>
      </w:tcPr>
    </w:tblStylePr>
    <w:tblStylePr w:type="lastRow">
      <w:rPr>
        <w:b/>
        <w:color w:val="616161"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71">
    <w:name w:val="Grid Table 6 Colorful - Accent 4"/>
    <w:basedOn w:val="9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772">
    <w:name w:val="Grid Table 6 Colorful - Accent 5"/>
    <w:basedOn w:val="911"/>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5"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3">
    <w:name w:val="Grid Table 6 Colorful - Accent 6"/>
    <w:basedOn w:val="911"/>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5" w:themeShade="95"/>
      </w:rPr>
      <w:pPr>
        <w:pBdr/>
        <w:spacing/>
        <w:ind/>
      </w:pPr>
      <w:tblPr>
        <w:tblBorders/>
      </w:tblPr>
      <w:tcPr>
        <w:tcBorders/>
      </w:tcPr>
    </w:tblStylePr>
    <w:tblStylePr w:type="firstRow">
      <w:rPr>
        <w:b/>
        <w:color w:val="254275" w:themeColor="accent5" w:themeShade="95"/>
      </w:rPr>
      <w:pPr>
        <w:pBdr/>
        <w:spacing/>
        <w:ind/>
      </w:pPr>
      <w:tblPr>
        <w:tblBorders/>
      </w:tblPr>
      <w:tcPr>
        <w:tcBorders>
          <w:bottom w:val="single" w:color="000000" w:themeColor="accent6" w:sz="12" w:space="0"/>
        </w:tcBorders>
      </w:tcPr>
    </w:tblStylePr>
    <w:tblStylePr w:type="lastCol">
      <w:rPr>
        <w:b/>
        <w:color w:val="254275" w:themeColor="accent5" w:themeShade="95"/>
      </w:rPr>
      <w:pPr>
        <w:pBdr/>
        <w:spacing/>
        <w:ind/>
      </w:pPr>
      <w:tblPr>
        <w:tblBorders/>
      </w:tblPr>
      <w:tcPr>
        <w:tcBorders/>
      </w:tcPr>
    </w:tblStylePr>
    <w:tblStylePr w:type="lastRow">
      <w:rPr>
        <w:b/>
        <w:color w:val="254275"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774">
    <w:name w:val="Grid Table 7 Colorful"/>
    <w:basedOn w:val="911"/>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7 Colorful - Accent 1"/>
    <w:basedOn w:val="911"/>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07abd" w:themeColor="accent1" w:themeTint="80" w:themeShade="95"/>
        <w:sz w:val="22"/>
      </w:rPr>
      <w:pPr>
        <w:pBdr/>
        <w:spacing/>
        <w:ind/>
      </w:pPr>
      <w:tblPr>
        <w:tblBorders/>
      </w:tblPr>
      <w:tcPr>
        <w:shd w:val="clear" w:color="ffffff" w:themeColor="accent1" w:themeTint="34" w:fill="deebf6" w:themeFill="accent1" w:themeFillTint="34"/>
        <w:tcBorders/>
      </w:tcPr>
    </w:tblStylePr>
    <w:tblStylePr w:type="band1Vert">
      <w:pPr>
        <w:pBdr/>
        <w:spacing/>
        <w:ind/>
      </w:pPr>
      <w:tblPr>
        <w:tblBorders/>
      </w:tblPr>
      <w:tcPr>
        <w:shd w:val="clear" w:color="ffffff" w:themeColor="accent1" w:themeTint="34" w:fill="deebf6" w:themeFill="accent1" w:themeFillTint="34"/>
        <w:tcBorders/>
      </w:tcPr>
    </w:tblStylePr>
    <w:tblStylePr w:type="band2Horz">
      <w:rPr>
        <w:rFonts w:ascii="Arial" w:hAnsi="Arial"/>
        <w:color w:val="307abd"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07abd"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07abd"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07abd"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7 Colorful - Accent 2"/>
    <w:basedOn w:val="911"/>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7 Colorful - Accent 3"/>
    <w:basedOn w:val="911"/>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16161"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16161"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16161"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16161"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16161"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7 Colorful - Accent 4"/>
    <w:basedOn w:val="911"/>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7 Colorful - Accent 5"/>
    <w:basedOn w:val="911"/>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54275" w:themeColor="accent5" w:themeShade="95"/>
        <w:sz w:val="22"/>
      </w:rPr>
      <w:pPr>
        <w:pBdr/>
        <w:spacing/>
        <w:ind/>
      </w:pPr>
      <w:tblPr>
        <w:tblBorders/>
      </w:tblPr>
      <w:tcPr>
        <w:shd w:val="clear" w:color="ffffff" w:themeColor="accent5" w:themeTint="34" w:fill="d9e2f3" w:themeFill="accent5" w:themeFillTint="34"/>
        <w:tcBorders/>
      </w:tcPr>
    </w:tblStylePr>
    <w:tblStylePr w:type="band1Vert">
      <w:pPr>
        <w:pBdr/>
        <w:spacing/>
        <w:ind/>
      </w:pPr>
      <w:tblPr>
        <w:tblBorders/>
      </w:tblPr>
      <w:tcPr>
        <w:shd w:val="clear" w:color="ffffff" w:themeColor="accent5" w:themeTint="34" w:fill="d9e2f3" w:themeFill="accent5" w:themeFillTint="34"/>
        <w:tcBorders/>
      </w:tcPr>
    </w:tblStylePr>
    <w:tblStylePr w:type="band2Horz">
      <w:rPr>
        <w:rFonts w:ascii="Arial" w:hAnsi="Arial"/>
        <w:color w:val="254275"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54275"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54275"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54275"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7 Colorful - Accent 6"/>
    <w:basedOn w:val="911"/>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List Table 1 Light"/>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List Table 1 Light - Accent 1"/>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List Table 1 Light - Accent 2"/>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List Table 1 Light - Accent 3"/>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List Table 1 Light - Accent 4"/>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List Table 1 Light - Accent 5"/>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List Table 1 Light - Accent 6"/>
    <w:basedOn w:val="911"/>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List Table 2"/>
    <w:basedOn w:val="911"/>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List Table 2 - Accent 1"/>
    <w:basedOn w:val="911"/>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List Table 2 - Accent 2"/>
    <w:basedOn w:val="911"/>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List Table 2 - Accent 3"/>
    <w:basedOn w:val="911"/>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List Table 2 - Accent 4"/>
    <w:basedOn w:val="911"/>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List Table 2 - Accent 5"/>
    <w:basedOn w:val="911"/>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List Table 2 - Accent 6"/>
    <w:basedOn w:val="911"/>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List Table 3"/>
    <w:basedOn w:val="9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6">
    <w:name w:val="List Table 3 - Accent 1"/>
    <w:basedOn w:val="911"/>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7">
    <w:name w:val="List Table 3 - Accent 2"/>
    <w:basedOn w:val="911"/>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8">
    <w:name w:val="List Table 3 - Accent 3"/>
    <w:basedOn w:val="911"/>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9">
    <w:name w:val="List Table 3 - Accent 4"/>
    <w:basedOn w:val="911"/>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0">
    <w:name w:val="List Table 3 - Accent 5"/>
    <w:basedOn w:val="911"/>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8eaadb"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1">
    <w:name w:val="List Table 3 - Accent 6"/>
    <w:basedOn w:val="911"/>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2">
    <w:name w:val="List Table 4"/>
    <w:basedOn w:val="911"/>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List Table 4 - Accent 1"/>
    <w:basedOn w:val="911"/>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6e6f4"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5b9bd5"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List Table 4 - Accent 2"/>
    <w:basedOn w:val="911"/>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List Table 4 - Accent 3"/>
    <w:basedOn w:val="911"/>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List Table 4 - Accent 4"/>
    <w:basedOn w:val="911"/>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List Table 4 - Accent 5"/>
    <w:basedOn w:val="911"/>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0dcf0"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472c4"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List Table 4 - Accent 6"/>
    <w:basedOn w:val="911"/>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5 Dark"/>
    <w:basedOn w:val="911"/>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0">
    <w:name w:val="List Table 5 Dark - Accent 1"/>
    <w:basedOn w:val="911"/>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5b9bd5" w:themeFill="accent1"/>
    </w:tblPr>
    <w:tcPr>
      <w:tcBorders/>
    </w:tcPr>
    <w:tblStylePr w:type="band1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5b9bd5"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5b9bd5"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5b9bd5"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1">
    <w:name w:val="List Table 5 Dark - Accent 2"/>
    <w:basedOn w:val="911"/>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2">
    <w:name w:val="List Table 5 Dark - Accent 3"/>
    <w:basedOn w:val="911"/>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3">
    <w:name w:val="List Table 5 Dark - Accent 4"/>
    <w:basedOn w:val="911"/>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4">
    <w:name w:val="List Table 5 Dark - Accent 5"/>
    <w:basedOn w:val="911"/>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8eaadb" w:themeFill="accent5" w:themeFillTint="9A"/>
    </w:tblPr>
    <w:tcPr>
      <w:tcBorders/>
    </w:tcPr>
    <w:tblStylePr w:type="band1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8eaadb"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8eaadb"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8eaadb"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5">
    <w:name w:val="List Table 5 Dark - Accent 6"/>
    <w:basedOn w:val="911"/>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16">
    <w:name w:val="List Table 6 Colorful"/>
    <w:basedOn w:val="911"/>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6 Colorful - Accent 1"/>
    <w:basedOn w:val="911"/>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1" w:themeShade="95"/>
      </w:rPr>
      <w:pPr>
        <w:pBdr/>
        <w:spacing/>
        <w:ind/>
      </w:pPr>
      <w:tblPr>
        <w:tblBorders/>
      </w:tblPr>
      <w:tcPr>
        <w:tcBorders/>
      </w:tcPr>
    </w:tblStylePr>
    <w:tblStylePr w:type="firstRow">
      <w:rPr>
        <w:b/>
        <w:color w:val="245b8d" w:themeColor="accent1" w:themeShade="95"/>
      </w:rPr>
      <w:pPr>
        <w:pBdr/>
        <w:spacing/>
        <w:ind/>
      </w:pPr>
      <w:tblPr>
        <w:tblBorders/>
      </w:tblPr>
      <w:tcPr>
        <w:tcBorders>
          <w:bottom w:val="single" w:color="000000" w:themeColor="accent1" w:sz="4" w:space="0"/>
        </w:tcBorders>
      </w:tcPr>
    </w:tblStylePr>
    <w:tblStylePr w:type="lastCol">
      <w:rPr>
        <w:b/>
        <w:color w:val="245b8d" w:themeColor="accent1" w:themeShade="95"/>
      </w:rPr>
      <w:pPr>
        <w:pBdr/>
        <w:spacing/>
        <w:ind/>
      </w:pPr>
      <w:tblPr>
        <w:tblBorders/>
      </w:tblPr>
      <w:tcPr>
        <w:tcBorders/>
      </w:tcPr>
    </w:tblStylePr>
    <w:tblStylePr w:type="lastRow">
      <w:rPr>
        <w:b/>
        <w:color w:val="245b8d"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6 Colorful - Accent 2"/>
    <w:basedOn w:val="911"/>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b5d12" w:themeColor="accent2" w:themeTint="97" w:themeShade="95"/>
      </w:rPr>
      <w:pPr>
        <w:pBdr/>
        <w:spacing/>
        <w:ind/>
      </w:pPr>
      <w:tblPr>
        <w:tblBorders/>
      </w:tblPr>
      <w:tcPr>
        <w:tcBorders/>
      </w:tcPr>
    </w:tblStylePr>
    <w:tblStylePr w:type="firstRow">
      <w:rPr>
        <w:b/>
        <w:color w:val="cb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b5d12" w:themeColor="accent2" w:themeTint="97" w:themeShade="95"/>
      </w:rPr>
      <w:pPr>
        <w:pBdr/>
        <w:spacing/>
        <w:ind/>
      </w:pPr>
      <w:tblPr>
        <w:tblBorders/>
      </w:tblPr>
      <w:tcPr>
        <w:tcBorders/>
      </w:tcPr>
    </w:tblStylePr>
    <w:tblStylePr w:type="lastRow">
      <w:rPr>
        <w:b/>
        <w:color w:val="cb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6 Colorful - Accent 3"/>
    <w:basedOn w:val="911"/>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67676" w:themeColor="accent3" w:themeTint="98" w:themeShade="95"/>
      </w:rPr>
      <w:pPr>
        <w:pBdr/>
        <w:spacing/>
        <w:ind/>
      </w:pPr>
      <w:tblPr>
        <w:tblBorders/>
      </w:tblPr>
      <w:tcPr>
        <w:tcBorders/>
      </w:tcPr>
    </w:tblStylePr>
    <w:tblStylePr w:type="firstRow">
      <w:rPr>
        <w:b/>
        <w:color w:val="767676" w:themeColor="accent3" w:themeTint="98" w:themeShade="95"/>
      </w:rPr>
      <w:pPr>
        <w:pBdr/>
        <w:spacing/>
        <w:ind/>
      </w:pPr>
      <w:tblPr>
        <w:tblBorders/>
      </w:tblPr>
      <w:tcPr>
        <w:tcBorders>
          <w:bottom w:val="single" w:color="000000" w:themeColor="accent3" w:themeTint="98" w:sz="4" w:space="0"/>
        </w:tcBorders>
      </w:tcPr>
    </w:tblStylePr>
    <w:tblStylePr w:type="lastCol">
      <w:rPr>
        <w:b/>
        <w:color w:val="767676" w:themeColor="accent3" w:themeTint="98" w:themeShade="95"/>
      </w:rPr>
      <w:pPr>
        <w:pBdr/>
        <w:spacing/>
        <w:ind/>
      </w:pPr>
      <w:tblPr>
        <w:tblBorders/>
      </w:tblPr>
      <w:tcPr>
        <w:tcBorders/>
      </w:tcPr>
    </w:tblStylePr>
    <w:tblStylePr w:type="lastRow">
      <w:rPr>
        <w:b/>
        <w:color w:val="767676"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6 Colorful - Accent 4"/>
    <w:basedOn w:val="911"/>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6 Colorful - Accent 5"/>
    <w:basedOn w:val="911"/>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35aa1" w:themeColor="accent5" w:themeTint="9A" w:themeShade="95"/>
      </w:rPr>
      <w:pPr>
        <w:pBdr/>
        <w:spacing/>
        <w:ind/>
      </w:pPr>
      <w:tblPr>
        <w:tblBorders/>
      </w:tblPr>
      <w:tcPr>
        <w:tcBorders/>
      </w:tcPr>
    </w:tblStylePr>
    <w:tblStylePr w:type="firstRow">
      <w:rPr>
        <w:b/>
        <w:color w:val="335aa1" w:themeColor="accent5" w:themeTint="9A" w:themeShade="95"/>
      </w:rPr>
      <w:pPr>
        <w:pBdr/>
        <w:spacing/>
        <w:ind/>
      </w:pPr>
      <w:tblPr>
        <w:tblBorders/>
      </w:tblPr>
      <w:tcPr>
        <w:tcBorders>
          <w:bottom w:val="single" w:color="000000" w:themeColor="accent5" w:themeTint="9A" w:sz="4" w:space="0"/>
        </w:tcBorders>
      </w:tcPr>
    </w:tblStylePr>
    <w:tblStylePr w:type="lastCol">
      <w:rPr>
        <w:b/>
        <w:color w:val="335aa1" w:themeColor="accent5" w:themeTint="9A" w:themeShade="95"/>
      </w:rPr>
      <w:pPr>
        <w:pBdr/>
        <w:spacing/>
        <w:ind/>
      </w:pPr>
      <w:tblPr>
        <w:tblBorders/>
      </w:tblPr>
      <w:tcPr>
        <w:tcBorders/>
      </w:tcPr>
    </w:tblStylePr>
    <w:tblStylePr w:type="lastRow">
      <w:rPr>
        <w:b/>
        <w:color w:val="335aa1"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6 Colorful - Accent 6"/>
    <w:basedOn w:val="911"/>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7 Colorful"/>
    <w:basedOn w:val="911"/>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24">
    <w:name w:val="List Table 7 Colorful - Accent 1"/>
    <w:basedOn w:val="911"/>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45b8d" w:themeColor="accent1" w:themeShade="95"/>
        <w:sz w:val="22"/>
      </w:rPr>
      <w:pPr>
        <w:pBdr/>
        <w:spacing/>
        <w:ind/>
      </w:pPr>
      <w:tblPr>
        <w:tblBorders/>
      </w:tblPr>
      <w:tcPr>
        <w:shd w:val="clear" w:color="ffffff" w:themeColor="accent1" w:themeTint="40" w:fill="d6e6f4" w:themeFill="accent1" w:themeFillTint="40"/>
        <w:tcBorders/>
      </w:tcPr>
    </w:tblStylePr>
    <w:tblStylePr w:type="band1Vert">
      <w:pPr>
        <w:pBdr/>
        <w:spacing/>
        <w:ind/>
      </w:pPr>
      <w:tblPr>
        <w:tblBorders/>
      </w:tblPr>
      <w:tcPr>
        <w:shd w:val="clear" w:color="ffffff" w:themeColor="accent1" w:themeTint="40" w:fill="d6e6f4" w:themeFill="accent1" w:themeFillTint="40"/>
        <w:tcBorders/>
      </w:tcPr>
    </w:tblStylePr>
    <w:tblStylePr w:type="band2Horz">
      <w:rPr>
        <w:rFonts w:ascii="Arial" w:hAnsi="Arial"/>
        <w:color w:val="245b8d"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45b8d"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45b8d"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45b8d"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45b8d" w:themeColor="accent1" w:themeShade="95"/>
        <w:sz w:val="22"/>
      </w:rPr>
      <w:pPr>
        <w:pBdr/>
        <w:spacing/>
        <w:ind/>
      </w:pPr>
      <w:tblPr>
        <w:tblBorders/>
      </w:tblPr>
      <w:tcPr>
        <w:tcBorders/>
      </w:tcPr>
    </w:tblStylePr>
  </w:style>
  <w:style w:type="table" w:styleId="825">
    <w:name w:val="List Table 7 Colorful - Accent 2"/>
    <w:basedOn w:val="911"/>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b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b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b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b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b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b5d12" w:themeColor="accent2" w:themeTint="97" w:themeShade="95"/>
        <w:sz w:val="22"/>
      </w:rPr>
      <w:pPr>
        <w:pBdr/>
        <w:spacing/>
        <w:ind/>
      </w:pPr>
      <w:tblPr>
        <w:tblBorders/>
      </w:tblPr>
      <w:tcPr>
        <w:tcBorders/>
      </w:tcPr>
    </w:tblStylePr>
  </w:style>
  <w:style w:type="table" w:styleId="826">
    <w:name w:val="List Table 7 Colorful - Accent 3"/>
    <w:basedOn w:val="911"/>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67676"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67676"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67676"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67676"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67676"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67676" w:themeColor="accent3" w:themeTint="98" w:themeShade="95"/>
        <w:sz w:val="22"/>
      </w:rPr>
      <w:pPr>
        <w:pBdr/>
        <w:spacing/>
        <w:ind/>
      </w:pPr>
      <w:tblPr>
        <w:tblBorders/>
      </w:tblPr>
      <w:tcPr>
        <w:tcBorders/>
      </w:tcPr>
    </w:tblStylePr>
  </w:style>
  <w:style w:type="table" w:styleId="827">
    <w:name w:val="List Table 7 Colorful - Accent 4"/>
    <w:basedOn w:val="911"/>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28">
    <w:name w:val="List Table 7 Colorful - Accent 5"/>
    <w:basedOn w:val="911"/>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35aa1" w:themeColor="accent5" w:themeTint="9A" w:themeShade="95"/>
        <w:sz w:val="22"/>
      </w:rPr>
      <w:pPr>
        <w:pBdr/>
        <w:spacing/>
        <w:ind/>
      </w:pPr>
      <w:tblPr>
        <w:tblBorders/>
      </w:tblPr>
      <w:tcPr>
        <w:shd w:val="clear" w:color="ffffff" w:themeColor="accent5" w:themeTint="40" w:fill="d0dcf0" w:themeFill="accent5" w:themeFillTint="40"/>
        <w:tcBorders/>
      </w:tcPr>
    </w:tblStylePr>
    <w:tblStylePr w:type="band1Vert">
      <w:pPr>
        <w:pBdr/>
        <w:spacing/>
        <w:ind/>
      </w:pPr>
      <w:tblPr>
        <w:tblBorders/>
      </w:tblPr>
      <w:tcPr>
        <w:shd w:val="clear" w:color="ffffff" w:themeColor="accent5" w:themeTint="40" w:fill="d0dcf0" w:themeFill="accent5" w:themeFillTint="40"/>
        <w:tcBorders/>
      </w:tcPr>
    </w:tblStylePr>
    <w:tblStylePr w:type="band2Horz">
      <w:rPr>
        <w:rFonts w:ascii="Arial" w:hAnsi="Arial"/>
        <w:color w:val="335aa1"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35aa1"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5aa1"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5aa1"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35aa1" w:themeColor="accent5" w:themeTint="9A" w:themeShade="95"/>
        <w:sz w:val="22"/>
      </w:rPr>
      <w:pPr>
        <w:pBdr/>
        <w:spacing/>
        <w:ind/>
      </w:pPr>
      <w:tblPr>
        <w:tblBorders/>
      </w:tblPr>
      <w:tcPr>
        <w:tcBorders/>
      </w:tcPr>
    </w:tblStylePr>
  </w:style>
  <w:style w:type="table" w:styleId="829">
    <w:name w:val="List Table 7 Colorful - Accent 6"/>
    <w:basedOn w:val="911"/>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30">
    <w:name w:val="Lined - Accent"/>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ned - Accent 1"/>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ned - Accent 2"/>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ned - Accent 3"/>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ned - Accent 4"/>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ned - Accent 5"/>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ned - Accent 6"/>
    <w:basedOn w:val="911"/>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Bordered &amp; Lined - Accent"/>
    <w:basedOn w:val="911"/>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8">
    <w:name w:val="Bordered &amp; Lined - Accent 1"/>
    <w:basedOn w:val="911"/>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ce0f2"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69a3d8"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9">
    <w:name w:val="Bordered &amp; Lined - Accent 2"/>
    <w:basedOn w:val="911"/>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0">
    <w:name w:val="Bordered &amp; Lined - Accent 3"/>
    <w:basedOn w:val="911"/>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1">
    <w:name w:val="Bordered &amp; Lined - Accent 4"/>
    <w:basedOn w:val="911"/>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Bordered &amp; Lined - Accent 5"/>
    <w:basedOn w:val="911"/>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9e2f3" w:themeFill="accent5" w:themeFillTint="34"/>
        <w:tcBorders/>
      </w:tcPr>
    </w:tblStylePr>
    <w:tblStylePr w:type="firstCol">
      <w:rPr>
        <w:rFonts w:ascii="Arial" w:hAnsi="Arial"/>
        <w:color w:val="f2f2f2"/>
        <w:sz w:val="22"/>
      </w:rPr>
      <w:pPr>
        <w:pBdr/>
        <w:spacing/>
        <w:ind/>
      </w:pPr>
      <w:tblPr>
        <w:tblBorders/>
      </w:tblPr>
      <w:tcPr>
        <w:shd w:val="clear" w:color="ffffff" w:themeColor="accent5" w:fill="4472c4" w:themeFill="accent5"/>
        <w:tcBorders/>
      </w:tcPr>
    </w:tblStylePr>
    <w:tblStylePr w:type="firstRow">
      <w:rPr>
        <w:rFonts w:ascii="Arial" w:hAnsi="Arial"/>
        <w:color w:val="f2f2f2"/>
        <w:sz w:val="22"/>
      </w:rPr>
      <w:pPr>
        <w:pBdr/>
        <w:spacing/>
        <w:ind/>
      </w:pPr>
      <w:tblPr>
        <w:tblBorders/>
      </w:tblPr>
      <w:tcPr>
        <w:shd w:val="clear" w:color="ffffff" w:themeColor="accent5" w:fill="4472c4" w:themeFill="accent5"/>
        <w:tcBorders/>
      </w:tcPr>
    </w:tblStylePr>
    <w:tblStylePr w:type="lastCol">
      <w:rPr>
        <w:rFonts w:ascii="Arial" w:hAnsi="Arial"/>
        <w:color w:val="f2f2f2"/>
        <w:sz w:val="22"/>
      </w:rPr>
      <w:pPr>
        <w:pBdr/>
        <w:spacing/>
        <w:ind/>
      </w:pPr>
      <w:tblPr>
        <w:tblBorders/>
      </w:tblPr>
      <w:tcPr>
        <w:shd w:val="clear" w:color="ffffff" w:themeColor="accent5" w:fill="4472c4" w:themeFill="accent5"/>
        <w:tcBorders/>
      </w:tcPr>
    </w:tblStylePr>
    <w:tblStylePr w:type="lastRow">
      <w:rPr>
        <w:rFonts w:ascii="Arial" w:hAnsi="Arial"/>
        <w:color w:val="f2f2f2"/>
        <w:sz w:val="22"/>
      </w:rPr>
      <w:pPr>
        <w:pBdr/>
        <w:spacing/>
        <w:ind/>
      </w:pPr>
      <w:tblPr>
        <w:tblBorders/>
      </w:tblPr>
      <w:tcPr>
        <w:shd w:val="clear" w:color="ffffff" w:themeColor="accent5" w:fill="4472c4"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Bordered &amp; Lined - Accent 6"/>
    <w:basedOn w:val="911"/>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Bordered"/>
    <w:basedOn w:val="911"/>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Bordered - Accent 1"/>
    <w:basedOn w:val="911"/>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Bordered - Accent 2"/>
    <w:basedOn w:val="911"/>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Bordered - Accent 3"/>
    <w:basedOn w:val="911"/>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Bordered - Accent 4"/>
    <w:basedOn w:val="911"/>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Bordered - Accent 5"/>
    <w:basedOn w:val="911"/>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Bordered - Accent 6"/>
    <w:basedOn w:val="911"/>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51">
    <w:name w:val="Heading 1"/>
    <w:basedOn w:val="910"/>
    <w:next w:val="910"/>
    <w:link w:val="861"/>
    <w:uiPriority w:val="9"/>
    <w:qFormat/>
    <w:pPr>
      <w:keepNext w:val="true"/>
      <w:keepLines w:val="true"/>
      <w:pBdr/>
      <w:spacing w:after="80" w:before="360"/>
      <w:ind/>
      <w:outlineLvl w:val="0"/>
    </w:pPr>
    <w:rPr>
      <w:rFonts w:ascii="Arial" w:hAnsi="Arial" w:eastAsia="Arial" w:cs="Arial"/>
      <w:color w:val="0f4761" w:themeColor="accent1" w:themeShade="BF"/>
      <w:sz w:val="40"/>
      <w:szCs w:val="40"/>
    </w:rPr>
  </w:style>
  <w:style w:type="paragraph" w:styleId="852">
    <w:name w:val="Heading 2"/>
    <w:basedOn w:val="910"/>
    <w:next w:val="910"/>
    <w:link w:val="862"/>
    <w:uiPriority w:val="9"/>
    <w:unhideWhenUsed/>
    <w:qFormat/>
    <w:pPr>
      <w:keepNext w:val="true"/>
      <w:keepLines w:val="true"/>
      <w:pBdr/>
      <w:spacing w:after="80" w:before="160"/>
      <w:ind/>
      <w:outlineLvl w:val="1"/>
    </w:pPr>
    <w:rPr>
      <w:rFonts w:ascii="Arial" w:hAnsi="Arial" w:eastAsia="Arial" w:cs="Arial"/>
      <w:color w:val="0f4761" w:themeColor="accent1" w:themeShade="BF"/>
      <w:sz w:val="32"/>
      <w:szCs w:val="32"/>
    </w:rPr>
  </w:style>
  <w:style w:type="paragraph" w:styleId="853">
    <w:name w:val="Heading 3"/>
    <w:basedOn w:val="910"/>
    <w:next w:val="910"/>
    <w:link w:val="863"/>
    <w:uiPriority w:val="9"/>
    <w:unhideWhenUsed/>
    <w:qFormat/>
    <w:pPr>
      <w:keepNext w:val="true"/>
      <w:keepLines w:val="true"/>
      <w:pBdr/>
      <w:spacing w:after="80" w:before="160"/>
      <w:ind/>
      <w:outlineLvl w:val="2"/>
    </w:pPr>
    <w:rPr>
      <w:rFonts w:ascii="Arial" w:hAnsi="Arial" w:eastAsia="Arial" w:cs="Arial"/>
      <w:color w:val="0f4761" w:themeColor="accent1" w:themeShade="BF"/>
      <w:sz w:val="28"/>
      <w:szCs w:val="28"/>
    </w:rPr>
  </w:style>
  <w:style w:type="paragraph" w:styleId="854">
    <w:name w:val="Heading 4"/>
    <w:basedOn w:val="910"/>
    <w:next w:val="910"/>
    <w:link w:val="864"/>
    <w:uiPriority w:val="9"/>
    <w:unhideWhenUsed/>
    <w:qFormat/>
    <w:pPr>
      <w:keepNext w:val="true"/>
      <w:keepLines w:val="true"/>
      <w:pBdr/>
      <w:spacing w:after="40" w:before="80"/>
      <w:ind/>
      <w:outlineLvl w:val="3"/>
    </w:pPr>
    <w:rPr>
      <w:rFonts w:ascii="Arial" w:hAnsi="Arial" w:eastAsia="Arial" w:cs="Arial"/>
      <w:i/>
      <w:iCs/>
      <w:color w:val="0f4761" w:themeColor="accent1" w:themeShade="BF"/>
    </w:rPr>
  </w:style>
  <w:style w:type="paragraph" w:styleId="855">
    <w:name w:val="Heading 5"/>
    <w:basedOn w:val="910"/>
    <w:next w:val="910"/>
    <w:link w:val="865"/>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856">
    <w:name w:val="Heading 6"/>
    <w:basedOn w:val="910"/>
    <w:next w:val="910"/>
    <w:link w:val="866"/>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857">
    <w:name w:val="Heading 7"/>
    <w:basedOn w:val="910"/>
    <w:next w:val="910"/>
    <w:link w:val="867"/>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858">
    <w:name w:val="Heading 8"/>
    <w:basedOn w:val="910"/>
    <w:next w:val="910"/>
    <w:link w:val="868"/>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859">
    <w:name w:val="Heading 9"/>
    <w:basedOn w:val="910"/>
    <w:next w:val="910"/>
    <w:link w:val="869"/>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860" w:default="1">
    <w:name w:val="Default Paragraph Font"/>
    <w:uiPriority w:val="1"/>
    <w:semiHidden/>
    <w:unhideWhenUsed/>
    <w:pPr>
      <w:pBdr/>
      <w:spacing/>
      <w:ind/>
    </w:pPr>
  </w:style>
  <w:style w:type="character" w:styleId="861">
    <w:name w:val="Heading 1 Char"/>
    <w:basedOn w:val="860"/>
    <w:link w:val="851"/>
    <w:uiPriority w:val="9"/>
    <w:pPr>
      <w:pBdr/>
      <w:spacing/>
      <w:ind/>
    </w:pPr>
    <w:rPr>
      <w:rFonts w:ascii="Arial" w:hAnsi="Arial" w:eastAsia="Arial" w:cs="Arial"/>
      <w:color w:val="0f4761" w:themeColor="accent1" w:themeShade="BF"/>
      <w:sz w:val="40"/>
      <w:szCs w:val="40"/>
    </w:rPr>
  </w:style>
  <w:style w:type="character" w:styleId="862">
    <w:name w:val="Heading 2 Char"/>
    <w:basedOn w:val="860"/>
    <w:link w:val="852"/>
    <w:uiPriority w:val="9"/>
    <w:pPr>
      <w:pBdr/>
      <w:spacing/>
      <w:ind/>
    </w:pPr>
    <w:rPr>
      <w:rFonts w:ascii="Arial" w:hAnsi="Arial" w:eastAsia="Arial" w:cs="Arial"/>
      <w:color w:val="0f4761" w:themeColor="accent1" w:themeShade="BF"/>
      <w:sz w:val="32"/>
      <w:szCs w:val="32"/>
    </w:rPr>
  </w:style>
  <w:style w:type="character" w:styleId="863">
    <w:name w:val="Heading 3 Char"/>
    <w:basedOn w:val="860"/>
    <w:link w:val="853"/>
    <w:uiPriority w:val="9"/>
    <w:pPr>
      <w:pBdr/>
      <w:spacing/>
      <w:ind/>
    </w:pPr>
    <w:rPr>
      <w:rFonts w:ascii="Arial" w:hAnsi="Arial" w:eastAsia="Arial" w:cs="Arial"/>
      <w:color w:val="0f4761" w:themeColor="accent1" w:themeShade="BF"/>
      <w:sz w:val="28"/>
      <w:szCs w:val="28"/>
    </w:rPr>
  </w:style>
  <w:style w:type="character" w:styleId="864">
    <w:name w:val="Heading 4 Char"/>
    <w:basedOn w:val="860"/>
    <w:link w:val="854"/>
    <w:uiPriority w:val="9"/>
    <w:pPr>
      <w:pBdr/>
      <w:spacing/>
      <w:ind/>
    </w:pPr>
    <w:rPr>
      <w:rFonts w:ascii="Arial" w:hAnsi="Arial" w:eastAsia="Arial" w:cs="Arial"/>
      <w:i/>
      <w:iCs/>
      <w:color w:val="0f4761" w:themeColor="accent1" w:themeShade="BF"/>
    </w:rPr>
  </w:style>
  <w:style w:type="character" w:styleId="865">
    <w:name w:val="Heading 5 Char"/>
    <w:basedOn w:val="860"/>
    <w:link w:val="855"/>
    <w:uiPriority w:val="9"/>
    <w:pPr>
      <w:pBdr/>
      <w:spacing/>
      <w:ind/>
    </w:pPr>
    <w:rPr>
      <w:rFonts w:ascii="Arial" w:hAnsi="Arial" w:eastAsia="Arial" w:cs="Arial"/>
      <w:color w:val="0f4761" w:themeColor="accent1" w:themeShade="BF"/>
    </w:rPr>
  </w:style>
  <w:style w:type="character" w:styleId="866">
    <w:name w:val="Heading 6 Char"/>
    <w:basedOn w:val="860"/>
    <w:link w:val="856"/>
    <w:uiPriority w:val="9"/>
    <w:pPr>
      <w:pBdr/>
      <w:spacing/>
      <w:ind/>
    </w:pPr>
    <w:rPr>
      <w:rFonts w:ascii="Arial" w:hAnsi="Arial" w:eastAsia="Arial" w:cs="Arial"/>
      <w:i/>
      <w:iCs/>
      <w:color w:val="595959" w:themeColor="text1" w:themeTint="A6"/>
    </w:rPr>
  </w:style>
  <w:style w:type="character" w:styleId="867">
    <w:name w:val="Heading 7 Char"/>
    <w:basedOn w:val="860"/>
    <w:link w:val="857"/>
    <w:uiPriority w:val="9"/>
    <w:pPr>
      <w:pBdr/>
      <w:spacing/>
      <w:ind/>
    </w:pPr>
    <w:rPr>
      <w:rFonts w:ascii="Arial" w:hAnsi="Arial" w:eastAsia="Arial" w:cs="Arial"/>
      <w:color w:val="595959" w:themeColor="text1" w:themeTint="A6"/>
    </w:rPr>
  </w:style>
  <w:style w:type="character" w:styleId="868">
    <w:name w:val="Heading 8 Char"/>
    <w:basedOn w:val="860"/>
    <w:link w:val="858"/>
    <w:uiPriority w:val="9"/>
    <w:pPr>
      <w:pBdr/>
      <w:spacing/>
      <w:ind/>
    </w:pPr>
    <w:rPr>
      <w:rFonts w:ascii="Arial" w:hAnsi="Arial" w:eastAsia="Arial" w:cs="Arial"/>
      <w:i/>
      <w:iCs/>
      <w:color w:val="272727" w:themeColor="text1" w:themeTint="D8"/>
    </w:rPr>
  </w:style>
  <w:style w:type="character" w:styleId="869">
    <w:name w:val="Heading 9 Char"/>
    <w:basedOn w:val="860"/>
    <w:link w:val="859"/>
    <w:uiPriority w:val="9"/>
    <w:pPr>
      <w:pBdr/>
      <w:spacing/>
      <w:ind/>
    </w:pPr>
    <w:rPr>
      <w:rFonts w:ascii="Arial" w:hAnsi="Arial" w:eastAsia="Arial" w:cs="Arial"/>
      <w:i/>
      <w:iCs/>
      <w:color w:val="272727" w:themeColor="text1" w:themeTint="D8"/>
    </w:rPr>
  </w:style>
  <w:style w:type="paragraph" w:styleId="870">
    <w:name w:val="Title"/>
    <w:basedOn w:val="910"/>
    <w:next w:val="910"/>
    <w:link w:val="871"/>
    <w:uiPriority w:val="10"/>
    <w:qFormat/>
    <w:pPr>
      <w:pBdr/>
      <w:spacing w:after="80" w:line="240" w:lineRule="auto"/>
      <w:ind/>
      <w:contextualSpacing w:val="true"/>
    </w:pPr>
    <w:rPr>
      <w:rFonts w:ascii="Arial" w:hAnsi="Arial" w:eastAsia="Arial" w:cs="Arial"/>
      <w:spacing w:val="-10"/>
      <w:sz w:val="56"/>
      <w:szCs w:val="56"/>
    </w:rPr>
  </w:style>
  <w:style w:type="character" w:styleId="871">
    <w:name w:val="Title Char"/>
    <w:basedOn w:val="860"/>
    <w:link w:val="870"/>
    <w:uiPriority w:val="10"/>
    <w:pPr>
      <w:pBdr/>
      <w:spacing/>
      <w:ind/>
    </w:pPr>
    <w:rPr>
      <w:rFonts w:ascii="Arial" w:hAnsi="Arial" w:eastAsia="Arial" w:cs="Arial"/>
      <w:spacing w:val="-10"/>
      <w:sz w:val="56"/>
      <w:szCs w:val="56"/>
    </w:rPr>
  </w:style>
  <w:style w:type="paragraph" w:styleId="872">
    <w:name w:val="Subtitle"/>
    <w:basedOn w:val="910"/>
    <w:next w:val="910"/>
    <w:link w:val="873"/>
    <w:uiPriority w:val="11"/>
    <w:qFormat/>
    <w:pPr>
      <w:numPr>
        <w:ilvl w:val="1"/>
      </w:numPr>
      <w:pBdr/>
      <w:spacing/>
      <w:ind/>
    </w:pPr>
    <w:rPr>
      <w:color w:val="595959" w:themeColor="text1" w:themeTint="A6"/>
      <w:spacing w:val="15"/>
      <w:sz w:val="28"/>
      <w:szCs w:val="28"/>
    </w:rPr>
  </w:style>
  <w:style w:type="character" w:styleId="873">
    <w:name w:val="Subtitle Char"/>
    <w:basedOn w:val="860"/>
    <w:link w:val="872"/>
    <w:uiPriority w:val="11"/>
    <w:pPr>
      <w:pBdr/>
      <w:spacing/>
      <w:ind/>
    </w:pPr>
    <w:rPr>
      <w:color w:val="595959" w:themeColor="text1" w:themeTint="A6"/>
      <w:spacing w:val="15"/>
      <w:sz w:val="28"/>
      <w:szCs w:val="28"/>
    </w:rPr>
  </w:style>
  <w:style w:type="paragraph" w:styleId="874">
    <w:name w:val="Quote"/>
    <w:basedOn w:val="910"/>
    <w:next w:val="910"/>
    <w:link w:val="875"/>
    <w:uiPriority w:val="29"/>
    <w:qFormat/>
    <w:pPr>
      <w:pBdr/>
      <w:spacing w:before="160"/>
      <w:ind/>
      <w:jc w:val="center"/>
    </w:pPr>
    <w:rPr>
      <w:i/>
      <w:iCs/>
      <w:color w:val="404040" w:themeColor="text1" w:themeTint="BF"/>
    </w:rPr>
  </w:style>
  <w:style w:type="character" w:styleId="875">
    <w:name w:val="Quote Char"/>
    <w:basedOn w:val="860"/>
    <w:link w:val="874"/>
    <w:uiPriority w:val="29"/>
    <w:pPr>
      <w:pBdr/>
      <w:spacing/>
      <w:ind/>
    </w:pPr>
    <w:rPr>
      <w:i/>
      <w:iCs/>
      <w:color w:val="404040" w:themeColor="text1" w:themeTint="BF"/>
    </w:rPr>
  </w:style>
  <w:style w:type="character" w:styleId="876">
    <w:name w:val="Intense Emphasis"/>
    <w:basedOn w:val="860"/>
    <w:uiPriority w:val="21"/>
    <w:qFormat/>
    <w:pPr>
      <w:pBdr/>
      <w:spacing/>
      <w:ind/>
    </w:pPr>
    <w:rPr>
      <w:i/>
      <w:iCs/>
      <w:color w:val="0f4761" w:themeColor="accent1" w:themeShade="BF"/>
    </w:rPr>
  </w:style>
  <w:style w:type="paragraph" w:styleId="877">
    <w:name w:val="Intense Quote"/>
    <w:basedOn w:val="910"/>
    <w:next w:val="910"/>
    <w:link w:val="87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878">
    <w:name w:val="Intense Quote Char"/>
    <w:basedOn w:val="860"/>
    <w:link w:val="877"/>
    <w:uiPriority w:val="30"/>
    <w:pPr>
      <w:pBdr/>
      <w:spacing/>
      <w:ind/>
    </w:pPr>
    <w:rPr>
      <w:i/>
      <w:iCs/>
      <w:color w:val="0f4761" w:themeColor="accent1" w:themeShade="BF"/>
    </w:rPr>
  </w:style>
  <w:style w:type="character" w:styleId="879">
    <w:name w:val="Intense Reference"/>
    <w:basedOn w:val="860"/>
    <w:uiPriority w:val="32"/>
    <w:qFormat/>
    <w:pPr>
      <w:pBdr/>
      <w:spacing/>
      <w:ind/>
    </w:pPr>
    <w:rPr>
      <w:b/>
      <w:bCs/>
      <w:smallCaps/>
      <w:color w:val="0f4761" w:themeColor="accent1" w:themeShade="BF"/>
      <w:spacing w:val="5"/>
    </w:rPr>
  </w:style>
  <w:style w:type="character" w:styleId="880">
    <w:name w:val="Subtle Emphasis"/>
    <w:basedOn w:val="860"/>
    <w:uiPriority w:val="19"/>
    <w:qFormat/>
    <w:pPr>
      <w:pBdr/>
      <w:spacing/>
      <w:ind/>
    </w:pPr>
    <w:rPr>
      <w:i/>
      <w:iCs/>
      <w:color w:val="404040" w:themeColor="text1" w:themeTint="BF"/>
    </w:rPr>
  </w:style>
  <w:style w:type="character" w:styleId="881">
    <w:name w:val="Emphasis"/>
    <w:basedOn w:val="860"/>
    <w:uiPriority w:val="20"/>
    <w:qFormat/>
    <w:pPr>
      <w:pBdr/>
      <w:spacing/>
      <w:ind/>
    </w:pPr>
    <w:rPr>
      <w:i/>
      <w:iCs/>
    </w:rPr>
  </w:style>
  <w:style w:type="character" w:styleId="882">
    <w:name w:val="Strong"/>
    <w:basedOn w:val="860"/>
    <w:uiPriority w:val="22"/>
    <w:qFormat/>
    <w:pPr>
      <w:pBdr/>
      <w:spacing/>
      <w:ind/>
    </w:pPr>
    <w:rPr>
      <w:b/>
      <w:bCs/>
    </w:rPr>
  </w:style>
  <w:style w:type="character" w:styleId="883">
    <w:name w:val="Subtle Reference"/>
    <w:basedOn w:val="860"/>
    <w:uiPriority w:val="31"/>
    <w:qFormat/>
    <w:pPr>
      <w:pBdr/>
      <w:spacing/>
      <w:ind/>
    </w:pPr>
    <w:rPr>
      <w:smallCaps/>
      <w:color w:val="5a5a5a" w:themeColor="text1" w:themeTint="A5"/>
    </w:rPr>
  </w:style>
  <w:style w:type="character" w:styleId="884">
    <w:name w:val="Book Title"/>
    <w:basedOn w:val="860"/>
    <w:uiPriority w:val="33"/>
    <w:qFormat/>
    <w:pPr>
      <w:pBdr/>
      <w:spacing/>
      <w:ind/>
    </w:pPr>
    <w:rPr>
      <w:b/>
      <w:bCs/>
      <w:i/>
      <w:iCs/>
      <w:spacing w:val="5"/>
    </w:rPr>
  </w:style>
  <w:style w:type="paragraph" w:styleId="885">
    <w:name w:val="Header"/>
    <w:basedOn w:val="910"/>
    <w:link w:val="886"/>
    <w:uiPriority w:val="99"/>
    <w:unhideWhenUsed/>
    <w:pPr>
      <w:pBdr/>
      <w:tabs>
        <w:tab w:val="center" w:leader="none" w:pos="4844"/>
        <w:tab w:val="right" w:leader="none" w:pos="9689"/>
      </w:tabs>
      <w:spacing w:after="0" w:line="240" w:lineRule="auto"/>
      <w:ind/>
    </w:pPr>
  </w:style>
  <w:style w:type="character" w:styleId="886">
    <w:name w:val="Header Char"/>
    <w:basedOn w:val="860"/>
    <w:link w:val="885"/>
    <w:uiPriority w:val="99"/>
    <w:pPr>
      <w:pBdr/>
      <w:spacing/>
      <w:ind/>
    </w:pPr>
  </w:style>
  <w:style w:type="paragraph" w:styleId="887">
    <w:name w:val="Footer"/>
    <w:basedOn w:val="910"/>
    <w:link w:val="888"/>
    <w:uiPriority w:val="99"/>
    <w:unhideWhenUsed/>
    <w:pPr>
      <w:pBdr/>
      <w:tabs>
        <w:tab w:val="center" w:leader="none" w:pos="4844"/>
        <w:tab w:val="right" w:leader="none" w:pos="9689"/>
      </w:tabs>
      <w:spacing w:after="0" w:line="240" w:lineRule="auto"/>
      <w:ind/>
    </w:pPr>
  </w:style>
  <w:style w:type="character" w:styleId="888">
    <w:name w:val="Footer Char"/>
    <w:basedOn w:val="860"/>
    <w:link w:val="887"/>
    <w:uiPriority w:val="99"/>
    <w:pPr>
      <w:pBdr/>
      <w:spacing/>
      <w:ind/>
    </w:pPr>
  </w:style>
  <w:style w:type="paragraph" w:styleId="889">
    <w:name w:val="Caption"/>
    <w:basedOn w:val="910"/>
    <w:next w:val="910"/>
    <w:uiPriority w:val="35"/>
    <w:unhideWhenUsed/>
    <w:qFormat/>
    <w:pPr>
      <w:pBdr/>
      <w:spacing w:after="200" w:line="240" w:lineRule="auto"/>
      <w:ind/>
    </w:pPr>
    <w:rPr>
      <w:i/>
      <w:iCs/>
      <w:color w:val="0e2841" w:themeColor="text2"/>
      <w:sz w:val="18"/>
      <w:szCs w:val="18"/>
    </w:rPr>
  </w:style>
  <w:style w:type="paragraph" w:styleId="890">
    <w:name w:val="footnote text"/>
    <w:basedOn w:val="910"/>
    <w:link w:val="891"/>
    <w:uiPriority w:val="99"/>
    <w:semiHidden/>
    <w:unhideWhenUsed/>
    <w:pPr>
      <w:pBdr/>
      <w:spacing w:after="0" w:line="240" w:lineRule="auto"/>
      <w:ind/>
    </w:pPr>
    <w:rPr>
      <w:sz w:val="20"/>
      <w:szCs w:val="20"/>
    </w:rPr>
  </w:style>
  <w:style w:type="character" w:styleId="891">
    <w:name w:val="Footnote Text Char"/>
    <w:basedOn w:val="860"/>
    <w:link w:val="890"/>
    <w:uiPriority w:val="99"/>
    <w:semiHidden/>
    <w:pPr>
      <w:pBdr/>
      <w:spacing/>
      <w:ind/>
    </w:pPr>
    <w:rPr>
      <w:sz w:val="20"/>
      <w:szCs w:val="20"/>
    </w:rPr>
  </w:style>
  <w:style w:type="character" w:styleId="892">
    <w:name w:val="footnote reference"/>
    <w:basedOn w:val="860"/>
    <w:uiPriority w:val="99"/>
    <w:semiHidden/>
    <w:unhideWhenUsed/>
    <w:pPr>
      <w:pBdr/>
      <w:spacing/>
      <w:ind/>
    </w:pPr>
    <w:rPr>
      <w:vertAlign w:val="superscript"/>
    </w:rPr>
  </w:style>
  <w:style w:type="paragraph" w:styleId="893">
    <w:name w:val="endnote text"/>
    <w:basedOn w:val="910"/>
    <w:link w:val="894"/>
    <w:uiPriority w:val="99"/>
    <w:semiHidden/>
    <w:unhideWhenUsed/>
    <w:pPr>
      <w:pBdr/>
      <w:spacing w:after="0" w:line="240" w:lineRule="auto"/>
      <w:ind/>
    </w:pPr>
    <w:rPr>
      <w:sz w:val="20"/>
      <w:szCs w:val="20"/>
    </w:rPr>
  </w:style>
  <w:style w:type="character" w:styleId="894">
    <w:name w:val="Endnote Text Char"/>
    <w:basedOn w:val="860"/>
    <w:link w:val="893"/>
    <w:uiPriority w:val="99"/>
    <w:semiHidden/>
    <w:pPr>
      <w:pBdr/>
      <w:spacing/>
      <w:ind/>
    </w:pPr>
    <w:rPr>
      <w:sz w:val="20"/>
      <w:szCs w:val="20"/>
    </w:rPr>
  </w:style>
  <w:style w:type="character" w:styleId="895">
    <w:name w:val="endnote reference"/>
    <w:basedOn w:val="860"/>
    <w:uiPriority w:val="99"/>
    <w:semiHidden/>
    <w:unhideWhenUsed/>
    <w:pPr>
      <w:pBdr/>
      <w:spacing/>
      <w:ind/>
    </w:pPr>
    <w:rPr>
      <w:vertAlign w:val="superscript"/>
    </w:rPr>
  </w:style>
  <w:style w:type="character" w:styleId="896">
    <w:name w:val="Hyperlink"/>
    <w:basedOn w:val="860"/>
    <w:uiPriority w:val="99"/>
    <w:unhideWhenUsed/>
    <w:pPr>
      <w:pBdr/>
      <w:spacing/>
      <w:ind/>
    </w:pPr>
    <w:rPr>
      <w:color w:val="0563c1" w:themeColor="hyperlink"/>
      <w:u w:val="single"/>
    </w:rPr>
  </w:style>
  <w:style w:type="character" w:styleId="897">
    <w:name w:val="FollowedHyperlink"/>
    <w:basedOn w:val="860"/>
    <w:uiPriority w:val="99"/>
    <w:semiHidden/>
    <w:unhideWhenUsed/>
    <w:pPr>
      <w:pBdr/>
      <w:spacing/>
      <w:ind/>
    </w:pPr>
    <w:rPr>
      <w:color w:val="954f72" w:themeColor="followedHyperlink"/>
      <w:u w:val="single"/>
    </w:rPr>
  </w:style>
  <w:style w:type="paragraph" w:styleId="898">
    <w:name w:val="toc 1"/>
    <w:basedOn w:val="910"/>
    <w:next w:val="910"/>
    <w:uiPriority w:val="39"/>
    <w:unhideWhenUsed/>
    <w:pPr>
      <w:pBdr/>
      <w:spacing w:after="100"/>
      <w:ind/>
    </w:pPr>
  </w:style>
  <w:style w:type="paragraph" w:styleId="899">
    <w:name w:val="toc 2"/>
    <w:basedOn w:val="910"/>
    <w:next w:val="910"/>
    <w:uiPriority w:val="39"/>
    <w:unhideWhenUsed/>
    <w:pPr>
      <w:pBdr/>
      <w:spacing w:after="100"/>
      <w:ind w:left="220"/>
    </w:pPr>
  </w:style>
  <w:style w:type="paragraph" w:styleId="900">
    <w:name w:val="toc 3"/>
    <w:basedOn w:val="910"/>
    <w:next w:val="910"/>
    <w:uiPriority w:val="39"/>
    <w:unhideWhenUsed/>
    <w:pPr>
      <w:pBdr/>
      <w:spacing w:after="100"/>
      <w:ind w:left="440"/>
    </w:pPr>
  </w:style>
  <w:style w:type="paragraph" w:styleId="901">
    <w:name w:val="toc 4"/>
    <w:basedOn w:val="910"/>
    <w:next w:val="910"/>
    <w:uiPriority w:val="39"/>
    <w:unhideWhenUsed/>
    <w:pPr>
      <w:pBdr/>
      <w:spacing w:after="100"/>
      <w:ind w:left="660"/>
    </w:pPr>
  </w:style>
  <w:style w:type="paragraph" w:styleId="902">
    <w:name w:val="toc 5"/>
    <w:basedOn w:val="910"/>
    <w:next w:val="910"/>
    <w:uiPriority w:val="39"/>
    <w:unhideWhenUsed/>
    <w:pPr>
      <w:pBdr/>
      <w:spacing w:after="100"/>
      <w:ind w:left="880"/>
    </w:pPr>
  </w:style>
  <w:style w:type="paragraph" w:styleId="903">
    <w:name w:val="toc 6"/>
    <w:basedOn w:val="910"/>
    <w:next w:val="910"/>
    <w:uiPriority w:val="39"/>
    <w:unhideWhenUsed/>
    <w:pPr>
      <w:pBdr/>
      <w:spacing w:after="100"/>
      <w:ind w:left="1100"/>
    </w:pPr>
  </w:style>
  <w:style w:type="paragraph" w:styleId="904">
    <w:name w:val="toc 7"/>
    <w:basedOn w:val="910"/>
    <w:next w:val="910"/>
    <w:uiPriority w:val="39"/>
    <w:unhideWhenUsed/>
    <w:pPr>
      <w:pBdr/>
      <w:spacing w:after="100"/>
      <w:ind w:left="1320"/>
    </w:pPr>
  </w:style>
  <w:style w:type="paragraph" w:styleId="905">
    <w:name w:val="toc 8"/>
    <w:basedOn w:val="910"/>
    <w:next w:val="910"/>
    <w:uiPriority w:val="39"/>
    <w:unhideWhenUsed/>
    <w:pPr>
      <w:pBdr/>
      <w:spacing w:after="100"/>
      <w:ind w:left="1540"/>
    </w:pPr>
  </w:style>
  <w:style w:type="paragraph" w:styleId="906">
    <w:name w:val="toc 9"/>
    <w:basedOn w:val="910"/>
    <w:next w:val="910"/>
    <w:uiPriority w:val="39"/>
    <w:unhideWhenUsed/>
    <w:pPr>
      <w:pBdr/>
      <w:spacing w:after="100"/>
      <w:ind w:left="1760"/>
    </w:pPr>
  </w:style>
  <w:style w:type="character" w:styleId="907">
    <w:name w:val="Placeholder Text"/>
    <w:basedOn w:val="860"/>
    <w:uiPriority w:val="99"/>
    <w:semiHidden/>
    <w:pPr>
      <w:pBdr/>
      <w:spacing/>
      <w:ind/>
    </w:pPr>
    <w:rPr>
      <w:color w:val="666666"/>
    </w:rPr>
  </w:style>
  <w:style w:type="paragraph" w:styleId="908">
    <w:name w:val="TOC Heading"/>
    <w:uiPriority w:val="39"/>
    <w:unhideWhenUsed/>
    <w:pPr>
      <w:pBdr/>
      <w:spacing/>
      <w:ind/>
    </w:pPr>
  </w:style>
  <w:style w:type="paragraph" w:styleId="909">
    <w:name w:val="table of figures"/>
    <w:basedOn w:val="910"/>
    <w:next w:val="910"/>
    <w:uiPriority w:val="99"/>
    <w:unhideWhenUsed/>
    <w:pPr>
      <w:pBdr/>
      <w:spacing w:after="0" w:afterAutospacing="0"/>
      <w:ind/>
    </w:pPr>
  </w:style>
  <w:style w:type="paragraph" w:styleId="910" w:default="1">
    <w:name w:val="Normal"/>
    <w:qFormat/>
    <w:pPr>
      <w:pBdr/>
      <w:spacing/>
      <w:ind/>
    </w:pPr>
  </w:style>
  <w:style w:type="table" w:styleId="911"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912" w:default="1">
    <w:name w:val="No List"/>
    <w:uiPriority w:val="99"/>
    <w:semiHidden/>
    <w:unhideWhenUsed/>
    <w:pPr>
      <w:pBdr/>
      <w:spacing/>
      <w:ind/>
    </w:pPr>
  </w:style>
  <w:style w:type="paragraph" w:styleId="913">
    <w:name w:val="No Spacing"/>
    <w:basedOn w:val="910"/>
    <w:uiPriority w:val="1"/>
    <w:qFormat/>
    <w:pPr>
      <w:pBdr/>
      <w:spacing w:after="0" w:line="240" w:lineRule="auto"/>
      <w:ind/>
    </w:pPr>
  </w:style>
  <w:style w:type="paragraph" w:styleId="914">
    <w:name w:val="List Paragraph"/>
    <w:basedOn w:val="910"/>
    <w:uiPriority w:val="34"/>
    <w:qFormat/>
    <w:pPr>
      <w:pBdr/>
      <w:spacing/>
      <w:ind w:left="720"/>
      <w:contextualSpacing w:val="true"/>
    </w:p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Application>onlyoffice/9.2.1.8</Application>
  <DocSecurity>0</DocSecurity>
  <ScaleCrop>0</ScaleCrop>
  <HeadingPairs>
    <vt:vector size="0" baseType="variant"/>
  </HeadingPairs>
  <TitlesOfParts>
    <vt:vector size="0" baseType="lpstr"/>
  </TitlesOfParts>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Kevin Moriniere</cp:lastModifiedBy>
  <cp:revision>5</cp:revision>
  <dcterms:modified xsi:type="dcterms:W3CDTF">2026-08-24T14:30:45Z</dcterms:modified>
</cp:coreProperties>
</file>